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050E034C"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WG1 Meeting #</w:t>
      </w:r>
      <w:r w:rsidR="00EF2D8F">
        <w:rPr>
          <w:rFonts w:ascii="Arial" w:hAnsi="Arial" w:cs="Arial"/>
          <w:b/>
          <w:sz w:val="24"/>
        </w:rPr>
        <w:t>9</w:t>
      </w:r>
      <w:r w:rsidR="00C96844">
        <w:rPr>
          <w:rFonts w:ascii="Arial" w:hAnsi="Arial" w:cs="Arial"/>
          <w:b/>
          <w:sz w:val="24"/>
        </w:rPr>
        <w:t>3</w:t>
      </w:r>
      <w:r w:rsidR="00E926CB">
        <w:rPr>
          <w:rFonts w:ascii="Arial" w:hAnsi="Arial" w:cs="Arial"/>
          <w:b/>
          <w:sz w:val="24"/>
        </w:rPr>
        <w:t xml:space="preserve"> </w:t>
      </w:r>
      <w:r w:rsidR="00EF2D8F">
        <w:rPr>
          <w:rFonts w:ascii="Arial" w:hAnsi="Arial" w:cs="Arial"/>
          <w:b/>
          <w:sz w:val="24"/>
        </w:rPr>
        <w:t xml:space="preserve"> </w:t>
      </w:r>
      <w:r w:rsidR="00FC27AE" w:rsidRPr="00FC7BBB">
        <w:rPr>
          <w:rFonts w:ascii="Arial" w:hAnsi="Arial" w:cs="Arial"/>
          <w:b/>
          <w:sz w:val="24"/>
        </w:rPr>
        <w:t xml:space="preserve">                                                       </w:t>
      </w:r>
      <w:r w:rsidR="00EB10CB" w:rsidRPr="00FC7BBB">
        <w:rPr>
          <w:rFonts w:ascii="Arial" w:hAnsi="Arial" w:cs="Arial"/>
          <w:b/>
          <w:sz w:val="24"/>
        </w:rPr>
        <w:tab/>
        <w:t xml:space="preserve">     </w:t>
      </w:r>
      <w:r w:rsidR="00D92C38">
        <w:rPr>
          <w:rFonts w:ascii="Arial" w:hAnsi="Arial" w:cs="Arial"/>
          <w:b/>
          <w:sz w:val="24"/>
        </w:rPr>
        <w:t xml:space="preserve">    </w:t>
      </w:r>
      <w:r w:rsidR="00C96844" w:rsidRPr="00C96844">
        <w:rPr>
          <w:rFonts w:ascii="Arial" w:hAnsi="Arial" w:cs="Arial"/>
          <w:b/>
          <w:sz w:val="24"/>
        </w:rPr>
        <w:t>R1-1806528</w:t>
      </w:r>
    </w:p>
    <w:p w14:paraId="5C3E292E" w14:textId="46E7D409" w:rsidR="00EB10CB" w:rsidRPr="00FC7BBB" w:rsidRDefault="00C96844" w:rsidP="00581FED">
      <w:pPr>
        <w:spacing w:after="0"/>
        <w:rPr>
          <w:rFonts w:ascii="Arial" w:hAnsi="Arial" w:cs="Arial"/>
          <w:b/>
          <w:sz w:val="24"/>
        </w:rPr>
      </w:pPr>
      <w:r>
        <w:rPr>
          <w:rFonts w:ascii="Arial" w:hAnsi="Arial" w:cs="Arial"/>
          <w:b/>
          <w:bCs/>
          <w:sz w:val="24"/>
        </w:rPr>
        <w:t>Busan</w:t>
      </w:r>
      <w:r w:rsidR="00717E1F">
        <w:rPr>
          <w:rFonts w:ascii="Arial" w:hAnsi="Arial" w:cs="Arial"/>
          <w:b/>
          <w:bCs/>
          <w:sz w:val="24"/>
        </w:rPr>
        <w:t xml:space="preserve">, </w:t>
      </w:r>
      <w:r>
        <w:rPr>
          <w:rFonts w:ascii="Arial" w:hAnsi="Arial" w:cs="Arial"/>
          <w:b/>
          <w:bCs/>
          <w:sz w:val="24"/>
        </w:rPr>
        <w:t>Korea</w:t>
      </w:r>
      <w:r w:rsidR="00D92C38">
        <w:rPr>
          <w:rFonts w:ascii="Arial" w:hAnsi="Arial" w:cs="Arial"/>
          <w:b/>
          <w:bCs/>
          <w:sz w:val="24"/>
        </w:rPr>
        <w:t xml:space="preserve">, </w:t>
      </w:r>
      <w:r>
        <w:rPr>
          <w:rFonts w:ascii="Arial" w:eastAsia="MS Mincho" w:hAnsi="Arial" w:cs="Arial"/>
          <w:b/>
          <w:bCs/>
          <w:sz w:val="24"/>
          <w:lang w:val="en-US" w:eastAsia="ja-JP"/>
        </w:rPr>
        <w:t>21</w:t>
      </w:r>
      <w:r>
        <w:rPr>
          <w:rFonts w:ascii="Arial" w:eastAsia="MS Mincho" w:hAnsi="Arial" w:cs="Arial"/>
          <w:b/>
          <w:bCs/>
          <w:sz w:val="24"/>
          <w:vertAlign w:val="superscript"/>
          <w:lang w:val="en-US" w:eastAsia="ja-JP"/>
        </w:rPr>
        <w:t>st</w:t>
      </w:r>
      <w:r w:rsidR="00E926CB" w:rsidRPr="005648BF">
        <w:rPr>
          <w:rFonts w:ascii="Arial" w:eastAsia="MS Mincho" w:hAnsi="Arial" w:cs="Arial"/>
          <w:b/>
          <w:bCs/>
          <w:sz w:val="24"/>
          <w:lang w:val="en-US" w:eastAsia="ja-JP"/>
        </w:rPr>
        <w:t xml:space="preserve"> – </w:t>
      </w:r>
      <w:r w:rsidR="00EF2D8F">
        <w:rPr>
          <w:rFonts w:ascii="Arial" w:eastAsia="MS Mincho" w:hAnsi="Arial" w:cs="Arial"/>
          <w:b/>
          <w:bCs/>
          <w:sz w:val="24"/>
          <w:lang w:val="en-US" w:eastAsia="ja-JP"/>
        </w:rPr>
        <w:t>2</w:t>
      </w:r>
      <w:r>
        <w:rPr>
          <w:rFonts w:ascii="Arial" w:eastAsia="MS Mincho" w:hAnsi="Arial" w:cs="Arial"/>
          <w:b/>
          <w:bCs/>
          <w:sz w:val="24"/>
          <w:lang w:val="en-US" w:eastAsia="ja-JP"/>
        </w:rPr>
        <w:t>5</w:t>
      </w:r>
      <w:r w:rsidR="00E926CB" w:rsidRPr="005648BF">
        <w:rPr>
          <w:rFonts w:ascii="Arial" w:eastAsia="MS Mincho" w:hAnsi="Arial" w:cs="Arial"/>
          <w:b/>
          <w:bCs/>
          <w:sz w:val="24"/>
          <w:vertAlign w:val="superscript"/>
          <w:lang w:val="en-US" w:eastAsia="ja-JP"/>
        </w:rPr>
        <w:t>th</w:t>
      </w:r>
      <w:r w:rsidR="00E926CB"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May</w:t>
      </w:r>
      <w:r w:rsidR="00E926CB" w:rsidRPr="005648BF">
        <w:rPr>
          <w:rFonts w:ascii="Arial" w:eastAsia="MS Mincho" w:hAnsi="Arial" w:cs="Arial"/>
          <w:b/>
          <w:bCs/>
          <w:sz w:val="24"/>
          <w:lang w:val="en-US" w:eastAsia="ja-JP"/>
        </w:rPr>
        <w:t xml:space="preserve"> 201</w:t>
      </w:r>
      <w:r w:rsidR="00EF2D8F">
        <w:rPr>
          <w:rFonts w:ascii="Arial" w:eastAsia="MS Mincho" w:hAnsi="Arial" w:cs="Arial"/>
          <w:b/>
          <w:bCs/>
          <w:sz w:val="24"/>
          <w:lang w:val="en-US" w:eastAsia="ja-JP"/>
        </w:rPr>
        <w:t>8</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092C1CB0"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EF2D8F">
        <w:rPr>
          <w:rFonts w:ascii="Arial" w:hAnsi="Arial"/>
          <w:b/>
          <w:sz w:val="24"/>
        </w:rPr>
        <w:t>7</w:t>
      </w:r>
      <w:r w:rsidR="00BF6FF4">
        <w:rPr>
          <w:rFonts w:ascii="Arial" w:hAnsi="Arial"/>
          <w:b/>
          <w:sz w:val="24"/>
        </w:rPr>
        <w:t>.1.</w:t>
      </w:r>
      <w:r w:rsidR="00EF2D8F">
        <w:rPr>
          <w:rFonts w:ascii="Arial" w:hAnsi="Arial"/>
          <w:b/>
          <w:sz w:val="24"/>
        </w:rPr>
        <w:t>7</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22FB4907"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C96844" w:rsidRPr="00C96844">
        <w:rPr>
          <w:rFonts w:ascii="Arial" w:hAnsi="Arial"/>
          <w:b/>
          <w:sz w:val="24"/>
        </w:rPr>
        <w:t>On Rel-15 UE feature list</w:t>
      </w:r>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3D9940BA" w14:textId="5AE3B556" w:rsidR="00BA5B0F" w:rsidRDefault="00607979" w:rsidP="00EF2D8F">
      <w:pPr>
        <w:pStyle w:val="LGTdoc"/>
        <w:spacing w:before="20" w:afterLines="0" w:line="240" w:lineRule="auto"/>
        <w:rPr>
          <w:sz w:val="20"/>
          <w:szCs w:val="20"/>
          <w:lang w:val="en-US"/>
        </w:rPr>
      </w:pPr>
      <w:r>
        <w:rPr>
          <w:sz w:val="20"/>
          <w:szCs w:val="20"/>
          <w:lang w:val="en-US"/>
        </w:rPr>
        <w:t>Following RAN#79 update</w:t>
      </w:r>
      <w:r w:rsidR="00CE6E7B">
        <w:rPr>
          <w:sz w:val="20"/>
          <w:szCs w:val="20"/>
          <w:lang w:val="en-US"/>
        </w:rPr>
        <w:t xml:space="preserve">, RAN1 NR UE feature list was updated with [1]. This contribution </w:t>
      </w:r>
      <w:r w:rsidR="00540817">
        <w:rPr>
          <w:sz w:val="20"/>
          <w:szCs w:val="20"/>
          <w:lang w:val="en-US"/>
        </w:rPr>
        <w:t>discusses</w:t>
      </w:r>
      <w:r w:rsidR="00CE6E7B">
        <w:rPr>
          <w:sz w:val="20"/>
          <w:szCs w:val="20"/>
          <w:lang w:val="en-US"/>
        </w:rPr>
        <w:t xml:space="preserve"> some remaining UE features. For all individual feature, another attached document shows Intel’s comments on UE capability signaling as well as Initial access related/forward compatibility [2].</w:t>
      </w:r>
      <w:r w:rsidR="007706B4">
        <w:rPr>
          <w:sz w:val="20"/>
          <w:szCs w:val="20"/>
          <w:lang w:val="en-US"/>
        </w:rPr>
        <w:t xml:space="preserve"> </w:t>
      </w:r>
    </w:p>
    <w:p w14:paraId="2DF36FE8" w14:textId="29B3BC39" w:rsidR="00CE6E7B" w:rsidRPr="00FC7BBB" w:rsidRDefault="007C2374" w:rsidP="00CE6E7B">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D</w:t>
      </w:r>
      <w:r w:rsidR="00540817">
        <w:rPr>
          <w:rFonts w:ascii="Arial" w:hAnsi="Arial" w:cs="Arial"/>
          <w:lang w:val="en-US"/>
        </w:rPr>
        <w:t>iscussions</w:t>
      </w:r>
      <w:r w:rsidR="00CE6E7B" w:rsidRPr="00FC7BBB">
        <w:rPr>
          <w:rFonts w:ascii="Arial" w:hAnsi="Arial" w:cs="Arial"/>
          <w:lang w:val="en-US"/>
        </w:rPr>
        <w:t xml:space="preserve"> </w:t>
      </w:r>
    </w:p>
    <w:p w14:paraId="3EBC3AE2" w14:textId="09F3CE52" w:rsidR="00EF2D8F" w:rsidRDefault="00EF2D8F" w:rsidP="00CE6E7B">
      <w:pPr>
        <w:pStyle w:val="LGTdoc"/>
        <w:spacing w:before="20" w:afterLines="0" w:line="240" w:lineRule="auto"/>
        <w:rPr>
          <w:sz w:val="20"/>
          <w:lang w:val="en-US"/>
        </w:rPr>
      </w:pPr>
    </w:p>
    <w:p w14:paraId="2619E960" w14:textId="53C6EA3D" w:rsidR="00E55B13" w:rsidRPr="00F239A9" w:rsidRDefault="00F239A9" w:rsidP="00CE6E7B">
      <w:pPr>
        <w:pStyle w:val="LGTdoc"/>
        <w:spacing w:before="20" w:afterLines="0" w:line="240" w:lineRule="auto"/>
        <w:rPr>
          <w:b/>
          <w:sz w:val="20"/>
          <w:u w:val="single"/>
          <w:lang w:val="en-US"/>
        </w:rPr>
      </w:pPr>
      <w:r w:rsidRPr="00F239A9">
        <w:rPr>
          <w:b/>
          <w:sz w:val="20"/>
          <w:u w:val="single"/>
          <w:lang w:val="en-US"/>
        </w:rPr>
        <w:t>1-8: RLM based on a mix of SS block and CSI-RS signals</w:t>
      </w:r>
      <w:r w:rsidR="00FF615F">
        <w:rPr>
          <w:b/>
          <w:sz w:val="20"/>
          <w:u w:val="single"/>
          <w:lang w:val="en-US"/>
        </w:rPr>
        <w:t>: Optional with capability signaling</w:t>
      </w:r>
    </w:p>
    <w:p w14:paraId="72247BFA" w14:textId="77777777" w:rsidR="00F239A9" w:rsidRDefault="00F239A9" w:rsidP="00CE6E7B">
      <w:pPr>
        <w:pStyle w:val="LGTdoc"/>
        <w:spacing w:before="20" w:afterLines="0" w:line="240" w:lineRule="auto"/>
        <w:rPr>
          <w:sz w:val="20"/>
          <w:lang w:val="en-US"/>
        </w:rPr>
      </w:pPr>
    </w:p>
    <w:p w14:paraId="38E97DB7" w14:textId="29EE3EE4" w:rsidR="00F239A9" w:rsidRDefault="00F01ABF" w:rsidP="00CE6E7B">
      <w:pPr>
        <w:pStyle w:val="LGTdoc"/>
        <w:spacing w:before="20" w:afterLines="0" w:line="240" w:lineRule="auto"/>
        <w:rPr>
          <w:sz w:val="20"/>
          <w:lang w:val="en-US"/>
        </w:rPr>
      </w:pPr>
      <w:r>
        <w:rPr>
          <w:sz w:val="20"/>
          <w:lang w:val="en-US"/>
        </w:rPr>
        <w:t xml:space="preserve">According to the decision in RAN#79, 1-4 (SS block based RLM) is mandatory with capability signaling which shall be set to ‘1’ (equivalent to mandatory without capability signaling), and 1-7 (CSI-RS based RLM) is mandatory without capability signaling. However, using both SSB and CSI-RS for RLM is </w:t>
      </w:r>
      <w:r w:rsidR="00EA38C1">
        <w:rPr>
          <w:sz w:val="20"/>
          <w:lang w:val="en-US"/>
        </w:rPr>
        <w:t>not essential and the benefits are not outstanding - rather</w:t>
      </w:r>
      <w:r>
        <w:rPr>
          <w:sz w:val="20"/>
          <w:lang w:val="en-US"/>
        </w:rPr>
        <w:t xml:space="preserve"> it causes UE complexity quite a bit. Thus, it is proposed 1-8 is optional with capability signaling.</w:t>
      </w:r>
    </w:p>
    <w:p w14:paraId="5AC32B80" w14:textId="77777777" w:rsidR="00FE6E09" w:rsidRDefault="00FE6E09" w:rsidP="00CE6E7B">
      <w:pPr>
        <w:pStyle w:val="LGTdoc"/>
        <w:spacing w:before="20" w:afterLines="0" w:line="240" w:lineRule="auto"/>
        <w:rPr>
          <w:sz w:val="20"/>
          <w:lang w:val="en-US"/>
        </w:rPr>
      </w:pPr>
    </w:p>
    <w:p w14:paraId="51B232AA" w14:textId="5E709B18" w:rsidR="007D4703" w:rsidRPr="0006640F" w:rsidRDefault="007D4703" w:rsidP="007D4703">
      <w:pPr>
        <w:snapToGrid w:val="0"/>
        <w:rPr>
          <w:rFonts w:ascii="Arial" w:eastAsia="MS PGothic" w:hAnsi="Arial" w:cs="Arial"/>
          <w:b/>
          <w:sz w:val="18"/>
          <w:szCs w:val="18"/>
          <w:u w:val="single"/>
        </w:rPr>
      </w:pPr>
      <w:r>
        <w:rPr>
          <w:rFonts w:ascii="Arial" w:eastAsia="MS PGothic" w:hAnsi="Arial" w:cs="Arial"/>
          <w:b/>
          <w:sz w:val="18"/>
          <w:szCs w:val="18"/>
          <w:u w:val="single"/>
          <w:lang w:eastAsia="ko-KR"/>
        </w:rPr>
        <w:t>2-</w:t>
      </w:r>
      <w:r>
        <w:rPr>
          <w:rFonts w:ascii="Arial" w:eastAsia="MS PGothic" w:hAnsi="Arial" w:cs="Arial"/>
          <w:b/>
          <w:sz w:val="18"/>
          <w:szCs w:val="18"/>
          <w:u w:val="single"/>
          <w:lang w:eastAsia="ko-KR"/>
        </w:rPr>
        <w:t>20</w:t>
      </w:r>
      <w:r>
        <w:rPr>
          <w:rFonts w:ascii="Arial" w:eastAsia="MS PGothic" w:hAnsi="Arial" w:cs="Arial"/>
          <w:b/>
          <w:sz w:val="18"/>
          <w:szCs w:val="18"/>
          <w:u w:val="single"/>
          <w:lang w:eastAsia="ko-KR"/>
        </w:rPr>
        <w:t xml:space="preserve">: </w:t>
      </w:r>
      <w:r w:rsidRPr="007D4703">
        <w:rPr>
          <w:rFonts w:ascii="Arial" w:eastAsia="MS PGothic" w:hAnsi="Arial" w:cs="Arial"/>
          <w:b/>
          <w:sz w:val="18"/>
          <w:szCs w:val="18"/>
          <w:u w:val="single"/>
          <w:lang w:eastAsia="ko-KR"/>
        </w:rPr>
        <w:t>Beam correspondence</w:t>
      </w:r>
    </w:p>
    <w:p w14:paraId="5047EABE" w14:textId="3266E1BC" w:rsidR="007D4703" w:rsidRDefault="007D4703" w:rsidP="007D4703">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It has been common understanding in RAN1 that beam correspondence is being discussed for FR2 only. It is proposed that beam correspondence is supported as mandatory without capability signalling for FR2, but it needs to be clarified that beam correspondence is not applied for FR1.</w:t>
      </w:r>
    </w:p>
    <w:p w14:paraId="04E82270" w14:textId="77777777" w:rsidR="009419E2" w:rsidRDefault="009419E2" w:rsidP="007D4703">
      <w:pPr>
        <w:pStyle w:val="LGTdoc"/>
        <w:spacing w:before="20" w:afterLines="0" w:line="240" w:lineRule="auto"/>
        <w:rPr>
          <w:rFonts w:ascii="Arial" w:eastAsia="MS PGothic" w:hAnsi="Arial" w:cs="Arial"/>
          <w:kern w:val="0"/>
          <w:sz w:val="18"/>
          <w:szCs w:val="18"/>
        </w:rPr>
      </w:pPr>
    </w:p>
    <w:p w14:paraId="6E76DBF6" w14:textId="1815B969" w:rsidR="009419E2" w:rsidRPr="0006640F" w:rsidRDefault="009419E2" w:rsidP="009419E2">
      <w:pPr>
        <w:snapToGrid w:val="0"/>
        <w:rPr>
          <w:rFonts w:ascii="Arial" w:eastAsia="MS PGothic" w:hAnsi="Arial" w:cs="Arial"/>
          <w:b/>
          <w:sz w:val="18"/>
          <w:szCs w:val="18"/>
          <w:u w:val="single"/>
        </w:rPr>
      </w:pPr>
      <w:r>
        <w:rPr>
          <w:rFonts w:ascii="Arial" w:eastAsia="MS PGothic" w:hAnsi="Arial" w:cs="Arial"/>
          <w:b/>
          <w:sz w:val="18"/>
          <w:szCs w:val="18"/>
          <w:u w:val="single"/>
          <w:lang w:eastAsia="ko-KR"/>
        </w:rPr>
        <w:t>2-</w:t>
      </w:r>
      <w:r>
        <w:rPr>
          <w:rFonts w:ascii="Arial" w:eastAsia="MS PGothic" w:hAnsi="Arial" w:cs="Arial"/>
          <w:b/>
          <w:sz w:val="18"/>
          <w:szCs w:val="18"/>
          <w:u w:val="single"/>
          <w:lang w:eastAsia="ko-KR"/>
        </w:rPr>
        <w:t>31</w:t>
      </w:r>
      <w:r>
        <w:rPr>
          <w:rFonts w:ascii="Arial" w:eastAsia="MS PGothic" w:hAnsi="Arial" w:cs="Arial"/>
          <w:b/>
          <w:sz w:val="18"/>
          <w:szCs w:val="18"/>
          <w:u w:val="single"/>
          <w:lang w:eastAsia="ko-KR"/>
        </w:rPr>
        <w:t xml:space="preserve">: </w:t>
      </w:r>
      <w:r w:rsidRPr="009419E2">
        <w:rPr>
          <w:rFonts w:ascii="Arial" w:eastAsia="MS PGothic" w:hAnsi="Arial" w:cs="Arial"/>
          <w:b/>
          <w:sz w:val="18"/>
          <w:szCs w:val="18"/>
          <w:u w:val="single"/>
          <w:lang w:eastAsia="ko-KR"/>
        </w:rPr>
        <w:t>Beam failure recovery</w:t>
      </w:r>
    </w:p>
    <w:p w14:paraId="587DD590" w14:textId="2AB23F04" w:rsidR="009419E2" w:rsidRDefault="009419E2" w:rsidP="009419E2">
      <w:pPr>
        <w:pStyle w:val="LGTdoc"/>
        <w:spacing w:before="20" w:afterLines="0" w:line="240" w:lineRule="auto"/>
        <w:rPr>
          <w:sz w:val="20"/>
          <w:lang w:val="en-US"/>
        </w:rPr>
      </w:pPr>
      <w:r>
        <w:rPr>
          <w:rFonts w:ascii="Arial" w:eastAsia="MS PGothic" w:hAnsi="Arial" w:cs="Arial"/>
          <w:kern w:val="0"/>
          <w:sz w:val="18"/>
          <w:szCs w:val="18"/>
        </w:rPr>
        <w:t xml:space="preserve">It was agreed BFR for SCell is supported up to 1 SCell. It is proposed to add it as optional with capability signalling. </w:t>
      </w:r>
    </w:p>
    <w:p w14:paraId="7205559C" w14:textId="77777777" w:rsidR="007D4703" w:rsidRDefault="007D4703" w:rsidP="00CE6E7B">
      <w:pPr>
        <w:pStyle w:val="LGTdoc"/>
        <w:spacing w:before="20" w:afterLines="0" w:line="240" w:lineRule="auto"/>
        <w:rPr>
          <w:sz w:val="20"/>
          <w:lang w:val="en-US"/>
        </w:rPr>
      </w:pPr>
    </w:p>
    <w:p w14:paraId="2FB7FBAB" w14:textId="693A083E" w:rsidR="00DA2301" w:rsidRPr="00CA51E9" w:rsidRDefault="00CA51E9" w:rsidP="00CE6E7B">
      <w:pPr>
        <w:pStyle w:val="LGTdoc"/>
        <w:spacing w:before="20" w:afterLines="0" w:line="240" w:lineRule="auto"/>
        <w:rPr>
          <w:b/>
          <w:sz w:val="20"/>
          <w:u w:val="single"/>
          <w:lang w:val="en-US"/>
        </w:rPr>
      </w:pPr>
      <w:r w:rsidRPr="00CA51E9">
        <w:rPr>
          <w:b/>
          <w:sz w:val="20"/>
          <w:u w:val="single"/>
          <w:lang w:val="en-US"/>
        </w:rPr>
        <w:t>2-35: CSI report framework</w:t>
      </w:r>
    </w:p>
    <w:p w14:paraId="44D6F391" w14:textId="77777777" w:rsidR="001D0C9A" w:rsidRDefault="001D0C9A"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CA51E9" w14:paraId="20433B3C" w14:textId="77777777" w:rsidTr="00CA51E9">
        <w:tc>
          <w:tcPr>
            <w:tcW w:w="9962" w:type="dxa"/>
          </w:tcPr>
          <w:p w14:paraId="203843C6" w14:textId="298CCEAF" w:rsidR="00CA51E9" w:rsidRPr="00CA51E9" w:rsidRDefault="00CA51E9" w:rsidP="00CE6E7B">
            <w:pPr>
              <w:pStyle w:val="LGTdoc"/>
              <w:spacing w:before="20" w:afterLines="0" w:line="240" w:lineRule="auto"/>
              <w:rPr>
                <w:sz w:val="20"/>
                <w:u w:val="single"/>
                <w:lang w:val="en-US"/>
              </w:rPr>
            </w:pPr>
            <w:r w:rsidRPr="00CA51E9">
              <w:rPr>
                <w:sz w:val="20"/>
                <w:u w:val="single"/>
                <w:lang w:val="en-US"/>
              </w:rPr>
              <w:t>Components</w:t>
            </w:r>
          </w:p>
          <w:p w14:paraId="19E1DB8E" w14:textId="77777777" w:rsidR="00CA51E9" w:rsidRDefault="00CA51E9" w:rsidP="00CE6E7B">
            <w:pPr>
              <w:pStyle w:val="LGTdoc"/>
              <w:spacing w:before="20" w:afterLines="0" w:line="240" w:lineRule="auto"/>
              <w:rPr>
                <w:sz w:val="20"/>
                <w:lang w:val="en-US"/>
              </w:rPr>
            </w:pPr>
          </w:p>
          <w:p w14:paraId="6340E9CE" w14:textId="77777777" w:rsidR="00CA51E9" w:rsidRPr="00CA51E9" w:rsidRDefault="00CA51E9" w:rsidP="00CA51E9">
            <w:pPr>
              <w:pStyle w:val="LGTdoc"/>
              <w:spacing w:before="20" w:after="120"/>
              <w:rPr>
                <w:sz w:val="20"/>
                <w:lang w:val="en-US"/>
              </w:rPr>
            </w:pPr>
            <w:r w:rsidRPr="00CA51E9">
              <w:rPr>
                <w:sz w:val="20"/>
                <w:lang w:val="en-US"/>
              </w:rPr>
              <w:t>1. Maximum number of periodic CSI report setting per BWP</w:t>
            </w:r>
          </w:p>
          <w:p w14:paraId="4C566D42" w14:textId="77777777" w:rsidR="00CA51E9" w:rsidRPr="00CA51E9" w:rsidRDefault="00CA51E9" w:rsidP="00CA51E9">
            <w:pPr>
              <w:pStyle w:val="LGTdoc"/>
              <w:spacing w:before="20" w:after="120"/>
              <w:rPr>
                <w:sz w:val="20"/>
                <w:lang w:val="en-US"/>
              </w:rPr>
            </w:pPr>
            <w:r w:rsidRPr="00CA51E9">
              <w:rPr>
                <w:sz w:val="20"/>
                <w:lang w:val="en-US"/>
              </w:rPr>
              <w:t xml:space="preserve">2. Maximum number of aperiodic CSI report setting per BWP </w:t>
            </w:r>
          </w:p>
          <w:p w14:paraId="2AAA6C9F" w14:textId="77777777" w:rsidR="00CA51E9" w:rsidRPr="00CA51E9" w:rsidRDefault="00CA51E9" w:rsidP="00CA51E9">
            <w:pPr>
              <w:pStyle w:val="LGTdoc"/>
              <w:spacing w:before="20" w:after="120"/>
              <w:rPr>
                <w:sz w:val="20"/>
                <w:lang w:val="en-US"/>
              </w:rPr>
            </w:pPr>
            <w:r w:rsidRPr="00CA51E9">
              <w:rPr>
                <w:sz w:val="20"/>
                <w:lang w:val="en-US"/>
              </w:rPr>
              <w:t>3. Maximum number of semi-persistent CSI report setting per BWP</w:t>
            </w:r>
          </w:p>
          <w:p w14:paraId="6715DBF6" w14:textId="77777777" w:rsidR="00CA51E9" w:rsidRPr="00CA51E9" w:rsidRDefault="00CA51E9" w:rsidP="00CA51E9">
            <w:pPr>
              <w:pStyle w:val="LGTdoc"/>
              <w:spacing w:before="20" w:after="120"/>
              <w:rPr>
                <w:sz w:val="20"/>
                <w:lang w:val="en-US"/>
              </w:rPr>
            </w:pPr>
            <w:r w:rsidRPr="00CA51E9">
              <w:rPr>
                <w:sz w:val="20"/>
                <w:lang w:val="en-US"/>
              </w:rPr>
              <w:t xml:space="preserve">4. Minimum duration Zk,l (in symbols)for processing a CSI, k is level of CSI latency class, i is the index of SCS, i=1,2,3,4 corresponding to 15,30,60,120 kHz SCS. </w:t>
            </w:r>
          </w:p>
          <w:p w14:paraId="4CA46227" w14:textId="77777777" w:rsidR="00CA51E9" w:rsidRPr="00CA51E9" w:rsidRDefault="00CA51E9" w:rsidP="00CA51E9">
            <w:pPr>
              <w:pStyle w:val="LGTdoc"/>
              <w:spacing w:before="20" w:after="120"/>
              <w:rPr>
                <w:sz w:val="20"/>
                <w:lang w:val="en-US"/>
              </w:rPr>
            </w:pPr>
            <w:r w:rsidRPr="00CA51E9">
              <w:rPr>
                <w:sz w:val="20"/>
                <w:lang w:val="en-US"/>
              </w:rPr>
              <w:t xml:space="preserve">5. UE can process X CSI report(s) simultaneously. CSI reports can be P/SP/A CSI and any latency class and codebook type. </w:t>
            </w:r>
          </w:p>
          <w:p w14:paraId="47E466A9" w14:textId="61C816B4" w:rsidR="00CA51E9" w:rsidRDefault="00CA51E9" w:rsidP="00CA51E9">
            <w:pPr>
              <w:pStyle w:val="LGTdoc"/>
              <w:spacing w:before="20" w:afterLines="0" w:line="240" w:lineRule="auto"/>
              <w:rPr>
                <w:sz w:val="20"/>
                <w:lang w:val="en-US"/>
              </w:rPr>
            </w:pPr>
            <w:r w:rsidRPr="00CA51E9">
              <w:rPr>
                <w:sz w:val="20"/>
                <w:highlight w:val="yellow"/>
                <w:lang w:val="en-US"/>
              </w:rPr>
              <w:t>FFS: whether X should also count the SRS precoder derivation in case of reciprocity based SRS Tx</w:t>
            </w:r>
          </w:p>
        </w:tc>
      </w:tr>
    </w:tbl>
    <w:p w14:paraId="725B20AA" w14:textId="77777777" w:rsidR="00CA51E9" w:rsidRDefault="00CA51E9" w:rsidP="00CE6E7B">
      <w:pPr>
        <w:pStyle w:val="LGTdoc"/>
        <w:spacing w:before="20" w:afterLines="0" w:line="240" w:lineRule="auto"/>
        <w:rPr>
          <w:sz w:val="20"/>
          <w:lang w:val="en-US"/>
        </w:rPr>
      </w:pPr>
    </w:p>
    <w:p w14:paraId="2D011A69" w14:textId="24EBD2FC" w:rsidR="00CA51E9" w:rsidRDefault="00CA51E9" w:rsidP="00CA51E9">
      <w:pPr>
        <w:pStyle w:val="LGTdoc"/>
        <w:spacing w:before="20" w:after="120"/>
        <w:rPr>
          <w:sz w:val="20"/>
          <w:lang w:val="en-US"/>
        </w:rPr>
      </w:pPr>
      <w:r w:rsidRPr="00CA51E9">
        <w:rPr>
          <w:sz w:val="20"/>
          <w:lang w:val="en-US"/>
        </w:rPr>
        <w:t xml:space="preserve">The UE capability signaling for Z values was </w:t>
      </w:r>
      <w:r>
        <w:rPr>
          <w:sz w:val="20"/>
          <w:lang w:val="en-US"/>
        </w:rPr>
        <w:t xml:space="preserve">agreed at the last RAN1 meeting -&gt; </w:t>
      </w:r>
      <w:r w:rsidRPr="00CA51E9">
        <w:rPr>
          <w:sz w:val="20"/>
          <w:lang w:val="en-US"/>
        </w:rPr>
        <w:t xml:space="preserve">Component-5 candidate values: from 1 to </w:t>
      </w:r>
      <w:r w:rsidRPr="00CA51E9">
        <w:rPr>
          <w:sz w:val="20"/>
          <w:lang w:val="en-US"/>
        </w:rPr>
        <w:lastRenderedPageBreak/>
        <w:t>32</w:t>
      </w:r>
    </w:p>
    <w:p w14:paraId="1E5F0357" w14:textId="3C97BCF1" w:rsidR="00CA51E9" w:rsidRPr="00A143C6" w:rsidRDefault="00A143C6" w:rsidP="00CE6E7B">
      <w:pPr>
        <w:pStyle w:val="LGTdoc"/>
        <w:spacing w:before="20" w:afterLines="0" w:line="240" w:lineRule="auto"/>
        <w:rPr>
          <w:b/>
          <w:sz w:val="20"/>
          <w:u w:val="single"/>
          <w:lang w:val="en-US"/>
        </w:rPr>
      </w:pPr>
      <w:r w:rsidRPr="00A143C6">
        <w:rPr>
          <w:b/>
          <w:sz w:val="20"/>
          <w:u w:val="single"/>
          <w:lang w:val="en-US"/>
        </w:rPr>
        <w:t>2-36: Type I single panel codebook</w:t>
      </w:r>
      <w:r w:rsidR="0040525A">
        <w:rPr>
          <w:b/>
          <w:sz w:val="20"/>
          <w:u w:val="single"/>
          <w:lang w:val="en-US"/>
        </w:rPr>
        <w:t>: Mode-1 Mandatory, Mode-2 Optional</w:t>
      </w:r>
    </w:p>
    <w:p w14:paraId="361CA475" w14:textId="77777777" w:rsidR="00A143C6" w:rsidRDefault="00A143C6"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A143C6" w14:paraId="50A6524B" w14:textId="77777777" w:rsidTr="00A143C6">
        <w:tc>
          <w:tcPr>
            <w:tcW w:w="9962" w:type="dxa"/>
          </w:tcPr>
          <w:p w14:paraId="5197C099" w14:textId="3363EC0B" w:rsidR="008A1575" w:rsidRPr="008A1575" w:rsidRDefault="008A1575" w:rsidP="00A143C6">
            <w:pPr>
              <w:pStyle w:val="LGTdoc"/>
              <w:spacing w:before="20" w:after="120"/>
              <w:rPr>
                <w:sz w:val="20"/>
                <w:u w:val="single"/>
                <w:lang w:val="en-US"/>
              </w:rPr>
            </w:pPr>
            <w:r w:rsidRPr="008A1575">
              <w:rPr>
                <w:sz w:val="20"/>
                <w:u w:val="single"/>
                <w:lang w:val="en-US"/>
              </w:rPr>
              <w:t>Components</w:t>
            </w:r>
          </w:p>
          <w:p w14:paraId="13BC0847" w14:textId="45C49EB9" w:rsidR="00A143C6" w:rsidRPr="00A143C6" w:rsidRDefault="00A143C6" w:rsidP="00A143C6">
            <w:pPr>
              <w:pStyle w:val="LGTdoc"/>
              <w:spacing w:before="20" w:after="120"/>
              <w:rPr>
                <w:sz w:val="20"/>
                <w:lang w:val="en-US"/>
              </w:rPr>
            </w:pPr>
            <w:r w:rsidRPr="00A143C6">
              <w:rPr>
                <w:sz w:val="20"/>
                <w:lang w:val="en-US"/>
              </w:rPr>
              <w:t>1. A list of supported combinations, each combination is {Max # of Tx ports in one resource, Max # of resources and total # of Tx ports} across all CCs simultaneously. Note: the above list doesn’t differentiate the latency class and feedback type.</w:t>
            </w:r>
          </w:p>
          <w:p w14:paraId="2DC0987A" w14:textId="335C1C59" w:rsidR="00A143C6" w:rsidRDefault="00A143C6" w:rsidP="00A143C6">
            <w:pPr>
              <w:pStyle w:val="LGTdoc"/>
              <w:spacing w:before="20" w:afterLines="0" w:line="240" w:lineRule="auto"/>
              <w:rPr>
                <w:sz w:val="20"/>
                <w:lang w:val="en-US"/>
              </w:rPr>
            </w:pPr>
            <w:r w:rsidRPr="00A143C6">
              <w:rPr>
                <w:sz w:val="20"/>
                <w:lang w:val="en-US"/>
              </w:rPr>
              <w:t>2. Supported Codebook Mode(s)</w:t>
            </w:r>
          </w:p>
        </w:tc>
      </w:tr>
    </w:tbl>
    <w:p w14:paraId="70F8BF34" w14:textId="77777777" w:rsidR="00A143C6" w:rsidRDefault="00A143C6" w:rsidP="00CE6E7B">
      <w:pPr>
        <w:pStyle w:val="LGTdoc"/>
        <w:spacing w:before="20" w:afterLines="0" w:line="240" w:lineRule="auto"/>
        <w:rPr>
          <w:sz w:val="20"/>
          <w:lang w:val="en-US"/>
        </w:rPr>
      </w:pPr>
    </w:p>
    <w:p w14:paraId="03DDEAE2" w14:textId="61B4D28D" w:rsidR="00A143C6" w:rsidRDefault="00A143C6" w:rsidP="00CE6E7B">
      <w:pPr>
        <w:pStyle w:val="LGTdoc"/>
        <w:spacing w:before="20" w:afterLines="0" w:line="240" w:lineRule="auto"/>
        <w:rPr>
          <w:sz w:val="20"/>
          <w:lang w:val="en-US"/>
        </w:rPr>
      </w:pPr>
      <w:r w:rsidRPr="00A143C6">
        <w:rPr>
          <w:sz w:val="20"/>
          <w:lang w:val="en-US"/>
        </w:rPr>
        <w:t xml:space="preserve">Component-2 candidate values: Mode-1 as mandatory Mode-2 as optional. No significant difference in the performance. The performance results are provided in </w:t>
      </w:r>
      <w:r w:rsidR="00C962FC">
        <w:rPr>
          <w:sz w:val="20"/>
          <w:lang w:val="en-US"/>
        </w:rPr>
        <w:t>[4].</w:t>
      </w:r>
    </w:p>
    <w:p w14:paraId="7388936D" w14:textId="77777777" w:rsidR="00A143C6" w:rsidRDefault="00A143C6" w:rsidP="00CE6E7B">
      <w:pPr>
        <w:pStyle w:val="LGTdoc"/>
        <w:spacing w:before="20" w:afterLines="0" w:line="240" w:lineRule="auto"/>
        <w:rPr>
          <w:sz w:val="20"/>
          <w:lang w:val="en-US"/>
        </w:rPr>
      </w:pPr>
    </w:p>
    <w:p w14:paraId="054ADEBE" w14:textId="737D599F" w:rsidR="001D0C9A" w:rsidRPr="00881ED2" w:rsidRDefault="00881ED2" w:rsidP="00CE6E7B">
      <w:pPr>
        <w:pStyle w:val="LGTdoc"/>
        <w:spacing w:before="20" w:afterLines="0" w:line="240" w:lineRule="auto"/>
        <w:rPr>
          <w:b/>
          <w:sz w:val="20"/>
          <w:u w:val="single"/>
        </w:rPr>
      </w:pPr>
      <w:r w:rsidRPr="00881ED2">
        <w:rPr>
          <w:b/>
          <w:sz w:val="20"/>
          <w:u w:val="single"/>
        </w:rPr>
        <w:t>2-41: Type II codebook</w:t>
      </w:r>
      <w:r>
        <w:rPr>
          <w:b/>
          <w:sz w:val="20"/>
          <w:u w:val="single"/>
        </w:rPr>
        <w:t>: Optional with capability signaling</w:t>
      </w:r>
    </w:p>
    <w:p w14:paraId="3C4EBC1A" w14:textId="5B89575C" w:rsidR="00881ED2" w:rsidRPr="00881ED2" w:rsidRDefault="00881ED2" w:rsidP="00CE6E7B">
      <w:pPr>
        <w:pStyle w:val="LGTdoc"/>
        <w:spacing w:before="20" w:afterLines="0" w:line="240" w:lineRule="auto"/>
        <w:rPr>
          <w:b/>
          <w:sz w:val="20"/>
          <w:u w:val="single"/>
        </w:rPr>
      </w:pPr>
      <w:r w:rsidRPr="00881ED2">
        <w:rPr>
          <w:b/>
          <w:sz w:val="20"/>
          <w:u w:val="single"/>
        </w:rPr>
        <w:t>2-42: Support Type II SP-CSI feedback on long PUCCH</w:t>
      </w:r>
      <w:r>
        <w:rPr>
          <w:b/>
          <w:sz w:val="20"/>
          <w:u w:val="single"/>
        </w:rPr>
        <w:t>: Optional with capability signaling</w:t>
      </w:r>
    </w:p>
    <w:p w14:paraId="586A5DBF" w14:textId="00C2F409" w:rsidR="00881ED2" w:rsidRPr="00881ED2" w:rsidRDefault="00881ED2" w:rsidP="00CE6E7B">
      <w:pPr>
        <w:pStyle w:val="LGTdoc"/>
        <w:spacing w:before="20" w:afterLines="0" w:line="240" w:lineRule="auto"/>
        <w:rPr>
          <w:b/>
          <w:sz w:val="20"/>
          <w:u w:val="single"/>
        </w:rPr>
      </w:pPr>
      <w:r w:rsidRPr="00881ED2">
        <w:rPr>
          <w:b/>
          <w:sz w:val="20"/>
          <w:u w:val="single"/>
        </w:rPr>
        <w:t>2-43: Type II codebook with port selection</w:t>
      </w:r>
      <w:r>
        <w:rPr>
          <w:b/>
          <w:sz w:val="20"/>
          <w:u w:val="single"/>
        </w:rPr>
        <w:t>: Optional with capability signaling</w:t>
      </w:r>
    </w:p>
    <w:p w14:paraId="3B4512C1" w14:textId="77777777" w:rsidR="002A5465" w:rsidRDefault="002A5465" w:rsidP="00CE6E7B">
      <w:pPr>
        <w:pStyle w:val="LGTdoc"/>
        <w:spacing w:before="20" w:afterLines="0" w:line="240" w:lineRule="auto"/>
        <w:rPr>
          <w:sz w:val="20"/>
          <w:lang w:val="en-US"/>
        </w:rPr>
      </w:pPr>
    </w:p>
    <w:p w14:paraId="5218B29E" w14:textId="57D4C1DE" w:rsidR="00881ED2" w:rsidRDefault="00881ED2" w:rsidP="00CE6E7B">
      <w:pPr>
        <w:pStyle w:val="LGTdoc"/>
        <w:spacing w:before="20" w:afterLines="0" w:line="240" w:lineRule="auto"/>
        <w:rPr>
          <w:sz w:val="20"/>
          <w:lang w:val="en-US"/>
        </w:rPr>
      </w:pPr>
      <w:r>
        <w:rPr>
          <w:sz w:val="20"/>
          <w:lang w:val="en-US"/>
        </w:rPr>
        <w:t xml:space="preserve">As discussed in [5], </w:t>
      </w:r>
      <w:r w:rsidR="00D560BE">
        <w:rPr>
          <w:sz w:val="20"/>
          <w:lang w:val="en-US"/>
        </w:rPr>
        <w:t>the following observations were made based on system level simulations:</w:t>
      </w:r>
    </w:p>
    <w:p w14:paraId="343E31DE" w14:textId="64E3BDF7" w:rsidR="00D560BE" w:rsidRPr="00D560BE" w:rsidRDefault="00D560BE" w:rsidP="00D560BE">
      <w:pPr>
        <w:pStyle w:val="LGTdoc"/>
        <w:numPr>
          <w:ilvl w:val="0"/>
          <w:numId w:val="19"/>
        </w:numPr>
        <w:spacing w:before="20" w:after="120"/>
        <w:rPr>
          <w:sz w:val="20"/>
          <w:lang w:val="en-US"/>
        </w:rPr>
      </w:pPr>
      <w:r w:rsidRPr="00D560BE">
        <w:rPr>
          <w:sz w:val="20"/>
          <w:lang w:val="en-US"/>
        </w:rPr>
        <w:t xml:space="preserve">Observation 1: Reciprocity-based precoding achieves better performance comparing to Type II CSI </w:t>
      </w:r>
    </w:p>
    <w:p w14:paraId="4F7BA16C" w14:textId="209EA17F" w:rsidR="00D560BE" w:rsidRPr="00D560BE" w:rsidRDefault="00D560BE" w:rsidP="00D560BE">
      <w:pPr>
        <w:pStyle w:val="LGTdoc"/>
        <w:numPr>
          <w:ilvl w:val="0"/>
          <w:numId w:val="19"/>
        </w:numPr>
        <w:spacing w:before="20" w:after="120"/>
        <w:rPr>
          <w:sz w:val="20"/>
          <w:lang w:val="en-US"/>
        </w:rPr>
      </w:pPr>
      <w:r w:rsidRPr="00D560BE">
        <w:rPr>
          <w:sz w:val="20"/>
          <w:lang w:val="en-US"/>
        </w:rPr>
        <w:t xml:space="preserve">Observation 2: The computational complexity of Type I PMI search is comparable to the computational complexity of Type II PMI search </w:t>
      </w:r>
    </w:p>
    <w:p w14:paraId="181E5950" w14:textId="6BF37CE9" w:rsidR="00D560BE" w:rsidRDefault="00D560BE" w:rsidP="00D560BE">
      <w:pPr>
        <w:pStyle w:val="LGTdoc"/>
        <w:numPr>
          <w:ilvl w:val="0"/>
          <w:numId w:val="19"/>
        </w:numPr>
        <w:spacing w:before="20" w:afterLines="0" w:line="240" w:lineRule="auto"/>
        <w:rPr>
          <w:sz w:val="20"/>
          <w:lang w:val="en-US"/>
        </w:rPr>
      </w:pPr>
      <w:r w:rsidRPr="00D560BE">
        <w:rPr>
          <w:sz w:val="20"/>
          <w:lang w:val="en-US"/>
        </w:rPr>
        <w:t>Observation 3: Implementation of Type II CSI in addition to Type I CSI leads to increased UE complexity and requires additional hardware block while the functionality of Type I and Type II CSI is similar</w:t>
      </w:r>
    </w:p>
    <w:p w14:paraId="770BE5B8" w14:textId="77777777" w:rsidR="00D560BE" w:rsidRDefault="00D560BE" w:rsidP="00D560BE">
      <w:pPr>
        <w:pStyle w:val="LGTdoc"/>
        <w:spacing w:before="20" w:afterLines="0" w:line="240" w:lineRule="auto"/>
        <w:rPr>
          <w:sz w:val="20"/>
          <w:lang w:val="en-US"/>
        </w:rPr>
      </w:pPr>
    </w:p>
    <w:p w14:paraId="1E78B42A" w14:textId="5A84D9BD" w:rsidR="00D560BE" w:rsidRDefault="00D560BE" w:rsidP="00D560BE">
      <w:pPr>
        <w:pStyle w:val="LGTdoc"/>
        <w:spacing w:before="20" w:afterLines="0" w:line="240" w:lineRule="auto"/>
        <w:rPr>
          <w:sz w:val="20"/>
          <w:lang w:val="en-US"/>
        </w:rPr>
      </w:pPr>
      <w:r>
        <w:rPr>
          <w:sz w:val="20"/>
          <w:lang w:val="en-US"/>
        </w:rPr>
        <w:t>Therefore, Type II CSI feedback should be optional considering not only performance gain but also UE complexity.</w:t>
      </w:r>
    </w:p>
    <w:p w14:paraId="18893DD4" w14:textId="77777777" w:rsidR="00881ED2" w:rsidRDefault="00881ED2" w:rsidP="00CE6E7B">
      <w:pPr>
        <w:pStyle w:val="LGTdoc"/>
        <w:spacing w:before="20" w:afterLines="0" w:line="240" w:lineRule="auto"/>
        <w:rPr>
          <w:sz w:val="20"/>
          <w:lang w:val="en-US"/>
        </w:rPr>
      </w:pPr>
    </w:p>
    <w:p w14:paraId="7707EA5A" w14:textId="2148B13A" w:rsidR="007019AD" w:rsidRPr="0006640F" w:rsidRDefault="007019AD" w:rsidP="007019AD">
      <w:pPr>
        <w:snapToGrid w:val="0"/>
        <w:rPr>
          <w:rFonts w:ascii="Arial" w:eastAsia="MS PGothic" w:hAnsi="Arial" w:cs="Arial"/>
          <w:b/>
          <w:sz w:val="18"/>
          <w:szCs w:val="18"/>
          <w:u w:val="single"/>
        </w:rPr>
      </w:pPr>
      <w:r>
        <w:rPr>
          <w:rFonts w:ascii="Arial" w:eastAsia="MS PGothic" w:hAnsi="Arial" w:cs="Arial"/>
          <w:b/>
          <w:sz w:val="18"/>
          <w:szCs w:val="18"/>
          <w:u w:val="single"/>
          <w:lang w:eastAsia="ko-KR"/>
        </w:rPr>
        <w:t>2-5</w:t>
      </w:r>
      <w:r>
        <w:rPr>
          <w:rFonts w:ascii="Arial" w:eastAsia="MS PGothic" w:hAnsi="Arial" w:cs="Arial"/>
          <w:b/>
          <w:sz w:val="18"/>
          <w:szCs w:val="18"/>
          <w:u w:val="single"/>
          <w:lang w:eastAsia="ko-KR"/>
        </w:rPr>
        <w:t>3</w:t>
      </w:r>
      <w:r>
        <w:rPr>
          <w:rFonts w:ascii="Arial" w:eastAsia="MS PGothic" w:hAnsi="Arial" w:cs="Arial"/>
          <w:b/>
          <w:sz w:val="18"/>
          <w:szCs w:val="18"/>
          <w:u w:val="single"/>
          <w:lang w:eastAsia="ko-KR"/>
        </w:rPr>
        <w:t xml:space="preserve">: </w:t>
      </w:r>
      <w:r w:rsidRPr="007019AD">
        <w:rPr>
          <w:rFonts w:ascii="Arial" w:eastAsia="MS PGothic" w:hAnsi="Arial" w:cs="Arial"/>
          <w:b/>
          <w:sz w:val="18"/>
          <w:szCs w:val="18"/>
          <w:u w:val="single"/>
          <w:lang w:eastAsia="ko-KR"/>
        </w:rPr>
        <w:t>SRS resources</w:t>
      </w:r>
    </w:p>
    <w:p w14:paraId="44E48D31" w14:textId="68E772CC" w:rsidR="007019AD" w:rsidRDefault="007019AD" w:rsidP="007019AD">
      <w:pPr>
        <w:pStyle w:val="LGTdoc"/>
        <w:spacing w:before="20" w:afterLines="0" w:line="240" w:lineRule="auto"/>
        <w:rPr>
          <w:sz w:val="20"/>
          <w:lang w:val="en-US"/>
        </w:rPr>
      </w:pPr>
      <w:r>
        <w:rPr>
          <w:rFonts w:ascii="Arial" w:eastAsia="MS PGothic" w:hAnsi="Arial" w:cs="Arial"/>
          <w:kern w:val="0"/>
          <w:sz w:val="18"/>
          <w:szCs w:val="18"/>
        </w:rPr>
        <w:t>In RAN1</w:t>
      </w:r>
      <w:r>
        <w:rPr>
          <w:rFonts w:ascii="Arial" w:eastAsia="MS PGothic" w:hAnsi="Arial" w:cs="Arial"/>
          <w:kern w:val="0"/>
          <w:sz w:val="18"/>
          <w:szCs w:val="18"/>
        </w:rPr>
        <w:t xml:space="preserve">#92bis, it was agreed that SP-SRS is supported as mandatory with capability signalling. It was captured as ‘mandatory’. We propose to clarify it is for ‘mandatory </w:t>
      </w:r>
      <w:r w:rsidRPr="007019AD">
        <w:rPr>
          <w:rFonts w:ascii="Arial" w:eastAsia="MS PGothic" w:hAnsi="Arial" w:cs="Arial"/>
          <w:b/>
          <w:kern w:val="0"/>
          <w:sz w:val="18"/>
          <w:szCs w:val="18"/>
        </w:rPr>
        <w:t>with capability signalling’</w:t>
      </w:r>
      <w:r>
        <w:rPr>
          <w:rFonts w:ascii="Arial" w:eastAsia="MS PGothic" w:hAnsi="Arial" w:cs="Arial"/>
          <w:kern w:val="0"/>
          <w:sz w:val="18"/>
          <w:szCs w:val="18"/>
        </w:rPr>
        <w:t xml:space="preserve">. </w:t>
      </w:r>
    </w:p>
    <w:p w14:paraId="0F0968D8" w14:textId="77777777" w:rsidR="007019AD" w:rsidRDefault="007019AD" w:rsidP="00CE6E7B">
      <w:pPr>
        <w:pStyle w:val="LGTdoc"/>
        <w:spacing w:before="20" w:afterLines="0" w:line="240" w:lineRule="auto"/>
        <w:rPr>
          <w:sz w:val="20"/>
          <w:lang w:val="en-US"/>
        </w:rPr>
      </w:pPr>
    </w:p>
    <w:p w14:paraId="3341DCA6" w14:textId="4FB71699" w:rsidR="005F4E06" w:rsidRPr="0006640F" w:rsidRDefault="005F4E06" w:rsidP="005F4E06">
      <w:pPr>
        <w:snapToGrid w:val="0"/>
        <w:rPr>
          <w:rFonts w:ascii="Arial" w:eastAsia="MS PGothic" w:hAnsi="Arial" w:cs="Arial"/>
          <w:b/>
          <w:sz w:val="18"/>
          <w:szCs w:val="18"/>
          <w:u w:val="single"/>
        </w:rPr>
      </w:pPr>
      <w:r>
        <w:rPr>
          <w:rFonts w:ascii="Arial" w:eastAsia="MS PGothic" w:hAnsi="Arial" w:cs="Arial"/>
          <w:b/>
          <w:sz w:val="18"/>
          <w:szCs w:val="18"/>
          <w:u w:val="single"/>
          <w:lang w:eastAsia="ko-KR"/>
        </w:rPr>
        <w:t>2</w:t>
      </w:r>
      <w:r>
        <w:rPr>
          <w:rFonts w:ascii="Arial" w:eastAsia="MS PGothic" w:hAnsi="Arial" w:cs="Arial"/>
          <w:b/>
          <w:sz w:val="18"/>
          <w:szCs w:val="18"/>
          <w:u w:val="single"/>
          <w:lang w:eastAsia="ko-KR"/>
        </w:rPr>
        <w:t>-</w:t>
      </w:r>
      <w:r>
        <w:rPr>
          <w:rFonts w:ascii="Arial" w:eastAsia="MS PGothic" w:hAnsi="Arial" w:cs="Arial"/>
          <w:b/>
          <w:sz w:val="18"/>
          <w:szCs w:val="18"/>
          <w:u w:val="single"/>
          <w:lang w:eastAsia="ko-KR"/>
        </w:rPr>
        <w:t>58</w:t>
      </w:r>
      <w:r>
        <w:rPr>
          <w:rFonts w:ascii="Arial" w:eastAsia="MS PGothic" w:hAnsi="Arial" w:cs="Arial"/>
          <w:b/>
          <w:sz w:val="18"/>
          <w:szCs w:val="18"/>
          <w:u w:val="single"/>
          <w:lang w:eastAsia="ko-KR"/>
        </w:rPr>
        <w:t xml:space="preserve">: </w:t>
      </w:r>
      <w:r w:rsidRPr="005F4E06">
        <w:rPr>
          <w:rFonts w:ascii="Arial" w:eastAsia="MS PGothic" w:hAnsi="Arial" w:cs="Arial"/>
          <w:b/>
          <w:sz w:val="18"/>
          <w:szCs w:val="18"/>
          <w:u w:val="single"/>
          <w:lang w:eastAsia="ko-KR"/>
        </w:rPr>
        <w:t>Aperiodic TRS for FR2</w:t>
      </w:r>
      <w:r>
        <w:rPr>
          <w:rFonts w:ascii="Arial" w:eastAsia="MS PGothic" w:hAnsi="Arial" w:cs="Arial"/>
          <w:b/>
          <w:sz w:val="18"/>
          <w:szCs w:val="18"/>
          <w:u w:val="single"/>
          <w:lang w:eastAsia="ko-KR"/>
        </w:rPr>
        <w:t xml:space="preserve"> (New)</w:t>
      </w:r>
    </w:p>
    <w:p w14:paraId="680C75EB" w14:textId="3775C49E" w:rsidR="005F4E06" w:rsidRDefault="005F4E06" w:rsidP="005F4E06">
      <w:pPr>
        <w:pStyle w:val="LGTdoc"/>
        <w:spacing w:before="20" w:afterLines="0" w:line="240" w:lineRule="auto"/>
        <w:rPr>
          <w:sz w:val="20"/>
          <w:lang w:val="en-US"/>
        </w:rPr>
      </w:pPr>
      <w:r>
        <w:rPr>
          <w:rFonts w:ascii="Arial" w:eastAsia="MS PGothic" w:hAnsi="Arial" w:cs="Arial"/>
          <w:kern w:val="0"/>
          <w:sz w:val="18"/>
          <w:szCs w:val="18"/>
        </w:rPr>
        <w:t>In RAN1#92bis, it was agreed aperiodic TRS is supported as optional with capability signaling.</w:t>
      </w:r>
    </w:p>
    <w:p w14:paraId="436F3EB3" w14:textId="77777777" w:rsidR="005E0274" w:rsidRDefault="005E0274" w:rsidP="00CE6E7B">
      <w:pPr>
        <w:pStyle w:val="LGTdoc"/>
        <w:spacing w:before="20" w:afterLines="0" w:line="240" w:lineRule="auto"/>
        <w:rPr>
          <w:sz w:val="20"/>
          <w:lang w:val="en-US"/>
        </w:rPr>
      </w:pPr>
      <w:bookmarkStart w:id="4" w:name="_GoBack"/>
      <w:bookmarkEnd w:id="4"/>
    </w:p>
    <w:p w14:paraId="44111E6F" w14:textId="56D0A81D" w:rsidR="008A1575" w:rsidRPr="008A1575" w:rsidRDefault="008A1575" w:rsidP="00CE6E7B">
      <w:pPr>
        <w:pStyle w:val="LGTdoc"/>
        <w:spacing w:before="20" w:afterLines="0" w:line="240" w:lineRule="auto"/>
        <w:rPr>
          <w:b/>
          <w:sz w:val="20"/>
          <w:u w:val="single"/>
          <w:lang w:val="en-US"/>
        </w:rPr>
      </w:pPr>
      <w:r w:rsidRPr="008A1575">
        <w:rPr>
          <w:b/>
          <w:sz w:val="20"/>
          <w:u w:val="single"/>
          <w:lang w:val="en-US"/>
        </w:rPr>
        <w:t>4-2: 2 PUCCH of format 0 or 2 in consecutive symbols</w:t>
      </w:r>
      <w:r>
        <w:rPr>
          <w:b/>
          <w:sz w:val="20"/>
          <w:u w:val="single"/>
          <w:lang w:val="en-US"/>
        </w:rPr>
        <w:t>: Optional with capability signaling</w:t>
      </w:r>
    </w:p>
    <w:p w14:paraId="5FC96BE7" w14:textId="77777777" w:rsidR="008A1575" w:rsidRDefault="008A1575"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8A1575" w14:paraId="258C2017" w14:textId="77777777" w:rsidTr="008A1575">
        <w:tc>
          <w:tcPr>
            <w:tcW w:w="9962" w:type="dxa"/>
          </w:tcPr>
          <w:p w14:paraId="401325D9" w14:textId="77777777" w:rsidR="008A1575" w:rsidRPr="008A1575" w:rsidRDefault="008A1575" w:rsidP="00CE6E7B">
            <w:pPr>
              <w:pStyle w:val="LGTdoc"/>
              <w:spacing w:before="20" w:afterLines="0" w:line="240" w:lineRule="auto"/>
              <w:rPr>
                <w:sz w:val="20"/>
                <w:u w:val="single"/>
                <w:lang w:val="en-US"/>
              </w:rPr>
            </w:pPr>
            <w:r w:rsidRPr="008A1575">
              <w:rPr>
                <w:sz w:val="20"/>
                <w:u w:val="single"/>
                <w:lang w:val="en-US"/>
              </w:rPr>
              <w:t>Components</w:t>
            </w:r>
          </w:p>
          <w:p w14:paraId="7BB4B54C" w14:textId="77777777" w:rsidR="003E5258" w:rsidRPr="003E5258" w:rsidRDefault="003E5258" w:rsidP="003E5258">
            <w:pPr>
              <w:pStyle w:val="LGTdoc"/>
              <w:spacing w:before="20" w:after="120"/>
              <w:rPr>
                <w:sz w:val="20"/>
                <w:lang w:val="en-US"/>
              </w:rPr>
            </w:pPr>
            <w:r w:rsidRPr="003E5258">
              <w:rPr>
                <w:sz w:val="20"/>
                <w:lang w:val="en-US"/>
              </w:rPr>
              <w:t xml:space="preserve">1) 2 PUCCH format 0/2 in different symbols and once per slot for HARQ-ACK, </w:t>
            </w:r>
          </w:p>
          <w:p w14:paraId="5E9C2243" w14:textId="77777777" w:rsidR="003E5258" w:rsidRPr="003E5258" w:rsidRDefault="003E5258" w:rsidP="003E5258">
            <w:pPr>
              <w:pStyle w:val="LGTdoc"/>
              <w:spacing w:before="20" w:after="120"/>
              <w:rPr>
                <w:sz w:val="20"/>
                <w:lang w:val="en-US"/>
              </w:rPr>
            </w:pPr>
            <w:r w:rsidRPr="003E5258">
              <w:rPr>
                <w:sz w:val="20"/>
                <w:lang w:val="en-US"/>
              </w:rPr>
              <w:t xml:space="preserve">2) 2 PUCCH format 0 in different symbols and once per slot for SR </w:t>
            </w:r>
          </w:p>
          <w:p w14:paraId="399FC9AD" w14:textId="26DB55B5" w:rsidR="008A1575" w:rsidRDefault="003E5258" w:rsidP="003E5258">
            <w:pPr>
              <w:pStyle w:val="LGTdoc"/>
              <w:spacing w:before="20" w:afterLines="0" w:line="240" w:lineRule="auto"/>
              <w:rPr>
                <w:sz w:val="20"/>
                <w:lang w:val="en-US"/>
              </w:rPr>
            </w:pPr>
            <w:r w:rsidRPr="003E5258">
              <w:rPr>
                <w:sz w:val="20"/>
                <w:lang w:val="en-US"/>
              </w:rPr>
              <w:t>3) 2 PUCCH format 2 in different symbols and once per slot for CSI over two consecutive OFDM symbols</w:t>
            </w:r>
          </w:p>
          <w:p w14:paraId="3179B7C7" w14:textId="4E26C2FC" w:rsidR="008A1575" w:rsidRDefault="008A1575" w:rsidP="00CE6E7B">
            <w:pPr>
              <w:pStyle w:val="LGTdoc"/>
              <w:spacing w:before="20" w:afterLines="0" w:line="240" w:lineRule="auto"/>
              <w:rPr>
                <w:sz w:val="20"/>
                <w:lang w:val="en-US"/>
              </w:rPr>
            </w:pPr>
          </w:p>
        </w:tc>
      </w:tr>
    </w:tbl>
    <w:p w14:paraId="1DCE5606" w14:textId="77777777" w:rsidR="008A1575" w:rsidRDefault="008A1575" w:rsidP="00CE6E7B">
      <w:pPr>
        <w:pStyle w:val="LGTdoc"/>
        <w:spacing w:before="20" w:afterLines="0" w:line="240" w:lineRule="auto"/>
        <w:rPr>
          <w:sz w:val="20"/>
          <w:lang w:val="en-US"/>
        </w:rPr>
      </w:pPr>
    </w:p>
    <w:p w14:paraId="607A20DC" w14:textId="60505213" w:rsidR="003E5258" w:rsidRDefault="003E5258" w:rsidP="00CE6E7B">
      <w:pPr>
        <w:pStyle w:val="LGTdoc"/>
        <w:spacing w:before="20" w:afterLines="0" w:line="240" w:lineRule="auto"/>
        <w:rPr>
          <w:sz w:val="20"/>
          <w:lang w:val="en-US"/>
        </w:rPr>
      </w:pPr>
      <w:r w:rsidRPr="003E5258">
        <w:rPr>
          <w:sz w:val="20"/>
          <w:lang w:val="en-US"/>
        </w:rPr>
        <w:t>There is no clear use case which can significantly impact the system performance.</w:t>
      </w:r>
    </w:p>
    <w:p w14:paraId="4E3C2DE9" w14:textId="77777777" w:rsidR="00073AD3" w:rsidRDefault="00073AD3" w:rsidP="00CE6E7B">
      <w:pPr>
        <w:pStyle w:val="LGTdoc"/>
        <w:spacing w:before="20" w:afterLines="0" w:line="240" w:lineRule="auto"/>
        <w:rPr>
          <w:sz w:val="20"/>
          <w:lang w:val="en-US"/>
        </w:rPr>
      </w:pPr>
    </w:p>
    <w:p w14:paraId="75BA16D0" w14:textId="74379A53" w:rsidR="00073AD3" w:rsidRPr="00814423" w:rsidRDefault="00814423" w:rsidP="00CE6E7B">
      <w:pPr>
        <w:pStyle w:val="LGTdoc"/>
        <w:spacing w:before="20" w:afterLines="0" w:line="240" w:lineRule="auto"/>
        <w:rPr>
          <w:b/>
          <w:sz w:val="20"/>
          <w:u w:val="single"/>
          <w:lang w:val="en-US"/>
        </w:rPr>
      </w:pPr>
      <w:r w:rsidRPr="00814423">
        <w:rPr>
          <w:b/>
          <w:sz w:val="20"/>
          <w:u w:val="single"/>
          <w:lang w:val="en-US"/>
        </w:rPr>
        <w:t>4-19: SR/HARQ-ACK/CSI multiplexing once per slot using a PUCCH (or piggybacked on a PUSCH): Optional with capability signaling</w:t>
      </w:r>
    </w:p>
    <w:p w14:paraId="14285BEA" w14:textId="77777777" w:rsidR="00814423" w:rsidRDefault="00814423" w:rsidP="00CE6E7B">
      <w:pPr>
        <w:pStyle w:val="LGTdoc"/>
        <w:spacing w:before="20" w:afterLines="0" w:line="240" w:lineRule="auto"/>
        <w:rPr>
          <w:sz w:val="20"/>
          <w:lang w:val="en-US"/>
        </w:rPr>
      </w:pPr>
    </w:p>
    <w:p w14:paraId="6B5AD9ED" w14:textId="3F4DB876" w:rsidR="00814423" w:rsidRDefault="00814423" w:rsidP="00CE6E7B">
      <w:pPr>
        <w:pStyle w:val="LGTdoc"/>
        <w:spacing w:before="20" w:afterLines="0" w:line="240" w:lineRule="auto"/>
        <w:rPr>
          <w:sz w:val="20"/>
          <w:lang w:val="en-US"/>
        </w:rPr>
      </w:pPr>
      <w:r>
        <w:rPr>
          <w:sz w:val="20"/>
          <w:lang w:val="en-US"/>
        </w:rPr>
        <w:t>V</w:t>
      </w:r>
      <w:r w:rsidRPr="00814423">
        <w:rPr>
          <w:sz w:val="20"/>
          <w:lang w:val="en-US"/>
        </w:rPr>
        <w:t>ery complicate handling of partial overlapping. Many missing parts in the spec to bother the implementation on time</w:t>
      </w:r>
    </w:p>
    <w:p w14:paraId="7F0A1B3A" w14:textId="77777777" w:rsidR="00073AD3" w:rsidRDefault="00073AD3" w:rsidP="00CE6E7B">
      <w:pPr>
        <w:pStyle w:val="LGTdoc"/>
        <w:spacing w:before="20" w:afterLines="0" w:line="240" w:lineRule="auto"/>
        <w:rPr>
          <w:sz w:val="20"/>
          <w:lang w:val="en-US"/>
        </w:rPr>
      </w:pPr>
    </w:p>
    <w:p w14:paraId="23AA662E" w14:textId="23A31849" w:rsidR="00814423" w:rsidRPr="00106873" w:rsidRDefault="00106873" w:rsidP="00CE6E7B">
      <w:pPr>
        <w:pStyle w:val="LGTdoc"/>
        <w:spacing w:before="20" w:afterLines="0" w:line="240" w:lineRule="auto"/>
        <w:rPr>
          <w:b/>
          <w:sz w:val="20"/>
          <w:u w:val="single"/>
          <w:lang w:val="en-US"/>
        </w:rPr>
      </w:pPr>
      <w:r w:rsidRPr="00106873">
        <w:rPr>
          <w:b/>
          <w:sz w:val="20"/>
          <w:u w:val="single"/>
          <w:lang w:val="en-US"/>
        </w:rPr>
        <w:t>4-24: PUCCH-spatialrelationinfo indication by a MAC CE per PUCCH resource: Optional with capability signaling</w:t>
      </w:r>
    </w:p>
    <w:p w14:paraId="42E773E6" w14:textId="77777777" w:rsidR="00106873" w:rsidRDefault="00106873" w:rsidP="00CE6E7B">
      <w:pPr>
        <w:pStyle w:val="LGTdoc"/>
        <w:spacing w:before="20" w:afterLines="0" w:line="240" w:lineRule="auto"/>
        <w:rPr>
          <w:sz w:val="20"/>
          <w:lang w:val="en-US"/>
        </w:rPr>
      </w:pPr>
    </w:p>
    <w:p w14:paraId="32DAC33C" w14:textId="63FA722F" w:rsidR="00106873" w:rsidRDefault="00106873" w:rsidP="00CE6E7B">
      <w:pPr>
        <w:pStyle w:val="LGTdoc"/>
        <w:spacing w:before="20" w:afterLines="0" w:line="240" w:lineRule="auto"/>
        <w:rPr>
          <w:sz w:val="20"/>
          <w:lang w:val="en-US"/>
        </w:rPr>
      </w:pPr>
      <w:r>
        <w:rPr>
          <w:sz w:val="20"/>
          <w:lang w:val="en-US"/>
        </w:rPr>
        <w:t>L</w:t>
      </w:r>
      <w:r w:rsidRPr="00106873">
        <w:rPr>
          <w:sz w:val="20"/>
          <w:lang w:val="en-US"/>
        </w:rPr>
        <w:t xml:space="preserve">atency benefit over RRC is </w:t>
      </w:r>
      <w:r>
        <w:rPr>
          <w:sz w:val="20"/>
          <w:lang w:val="en-US"/>
        </w:rPr>
        <w:t>marginal.</w:t>
      </w:r>
    </w:p>
    <w:p w14:paraId="19FB562F" w14:textId="77777777" w:rsidR="00106873" w:rsidRDefault="00106873" w:rsidP="00CE6E7B">
      <w:pPr>
        <w:pStyle w:val="LGTdoc"/>
        <w:spacing w:before="20" w:afterLines="0" w:line="240" w:lineRule="auto"/>
        <w:rPr>
          <w:sz w:val="20"/>
          <w:lang w:val="en-US"/>
        </w:rPr>
      </w:pPr>
    </w:p>
    <w:p w14:paraId="32F167BB" w14:textId="45078419" w:rsidR="0073382B" w:rsidRPr="00014284" w:rsidRDefault="0073382B" w:rsidP="0073382B">
      <w:pPr>
        <w:pStyle w:val="LGTdoc"/>
        <w:spacing w:before="20" w:afterLines="0" w:line="240" w:lineRule="auto"/>
        <w:rPr>
          <w:rFonts w:ascii="Arial" w:eastAsia="MS PGothic" w:hAnsi="Arial" w:cs="Arial"/>
          <w:b/>
          <w:kern w:val="0"/>
          <w:sz w:val="18"/>
          <w:szCs w:val="18"/>
          <w:u w:val="single"/>
        </w:rPr>
      </w:pPr>
      <w:r w:rsidRPr="00014284">
        <w:rPr>
          <w:rFonts w:ascii="Arial" w:eastAsia="MS PGothic" w:hAnsi="Arial" w:cs="Arial"/>
          <w:b/>
          <w:kern w:val="0"/>
          <w:sz w:val="18"/>
          <w:szCs w:val="18"/>
          <w:u w:val="single"/>
        </w:rPr>
        <w:t>5-</w:t>
      </w:r>
      <w:r>
        <w:rPr>
          <w:rFonts w:ascii="Arial" w:eastAsia="MS PGothic" w:hAnsi="Arial" w:cs="Arial"/>
          <w:b/>
          <w:kern w:val="0"/>
          <w:sz w:val="18"/>
          <w:szCs w:val="18"/>
          <w:u w:val="single"/>
        </w:rPr>
        <w:t xml:space="preserve">27: </w:t>
      </w:r>
      <w:r w:rsidRPr="00014284">
        <w:rPr>
          <w:rFonts w:ascii="Arial" w:eastAsia="MS PGothic" w:hAnsi="Arial" w:cs="Arial"/>
          <w:b/>
          <w:kern w:val="0"/>
          <w:sz w:val="18"/>
          <w:szCs w:val="18"/>
          <w:u w:val="single"/>
        </w:rPr>
        <w:t>Dynamic rate-matching resource set configuration for DL</w:t>
      </w:r>
      <w:r w:rsidR="00001223">
        <w:rPr>
          <w:rFonts w:ascii="Arial" w:eastAsia="MS PGothic" w:hAnsi="Arial" w:cs="Arial"/>
          <w:b/>
          <w:kern w:val="0"/>
          <w:sz w:val="18"/>
          <w:szCs w:val="18"/>
          <w:u w:val="single"/>
        </w:rPr>
        <w:t>: Optional with capability signaling</w:t>
      </w:r>
      <w:r>
        <w:rPr>
          <w:rFonts w:ascii="Arial" w:eastAsia="MS PGothic" w:hAnsi="Arial" w:cs="Arial"/>
          <w:b/>
          <w:kern w:val="0"/>
          <w:sz w:val="18"/>
          <w:szCs w:val="18"/>
          <w:u w:val="single"/>
        </w:rPr>
        <w:t xml:space="preserve"> </w:t>
      </w:r>
    </w:p>
    <w:p w14:paraId="72252D9F" w14:textId="77777777" w:rsidR="0073382B" w:rsidRDefault="0073382B" w:rsidP="0073382B">
      <w:pPr>
        <w:pStyle w:val="LGTdoc"/>
        <w:spacing w:before="20" w:afterLines="0" w:line="240" w:lineRule="auto"/>
        <w:rPr>
          <w:rFonts w:ascii="Arial" w:eastAsia="MS PGothic" w:hAnsi="Arial" w:cs="Arial"/>
          <w:kern w:val="0"/>
          <w:sz w:val="18"/>
          <w:szCs w:val="18"/>
        </w:rPr>
      </w:pPr>
    </w:p>
    <w:p w14:paraId="175431E9" w14:textId="77777777" w:rsidR="0073382B" w:rsidRDefault="0073382B" w:rsidP="0073382B">
      <w:pPr>
        <w:pStyle w:val="LGTdoc"/>
        <w:spacing w:before="20" w:afterLines="0" w:line="240" w:lineRule="auto"/>
        <w:rPr>
          <w:rFonts w:ascii="Arial" w:eastAsia="MS PGothic" w:hAnsi="Arial" w:cs="Arial"/>
          <w:kern w:val="0"/>
          <w:sz w:val="18"/>
          <w:szCs w:val="18"/>
        </w:rPr>
      </w:pPr>
      <w:r w:rsidRPr="00014284">
        <w:rPr>
          <w:rFonts w:ascii="Arial" w:eastAsia="MS PGothic" w:hAnsi="Arial" w:cs="Arial"/>
          <w:kern w:val="0"/>
          <w:sz w:val="18"/>
          <w:szCs w:val="18"/>
        </w:rPr>
        <w:t xml:space="preserve">This </w:t>
      </w:r>
      <w:r>
        <w:rPr>
          <w:rFonts w:ascii="Arial" w:eastAsia="MS PGothic" w:hAnsi="Arial" w:cs="Arial"/>
          <w:kern w:val="0"/>
          <w:sz w:val="18"/>
          <w:szCs w:val="18"/>
        </w:rPr>
        <w:t xml:space="preserve">feature </w:t>
      </w:r>
      <w:r w:rsidRPr="00014284">
        <w:rPr>
          <w:rFonts w:ascii="Arial" w:eastAsia="MS PGothic" w:hAnsi="Arial" w:cs="Arial"/>
          <w:kern w:val="0"/>
          <w:sz w:val="18"/>
          <w:szCs w:val="18"/>
        </w:rPr>
        <w:t>is not necessary for forward compatibility. Semi-static rate-matching is sufficient</w:t>
      </w:r>
      <w:r>
        <w:rPr>
          <w:rFonts w:ascii="Arial" w:eastAsia="MS PGothic" w:hAnsi="Arial" w:cs="Arial"/>
          <w:kern w:val="0"/>
          <w:sz w:val="18"/>
          <w:szCs w:val="18"/>
        </w:rPr>
        <w:t xml:space="preserve"> for that purpose</w:t>
      </w:r>
      <w:r w:rsidRPr="00014284">
        <w:rPr>
          <w:rFonts w:ascii="Arial" w:eastAsia="MS PGothic" w:hAnsi="Arial" w:cs="Arial"/>
          <w:kern w:val="0"/>
          <w:sz w:val="18"/>
          <w:szCs w:val="18"/>
        </w:rPr>
        <w:t>. Dynamic rate-matching essentially allows PDSCH to be mapped on to the reserved resources, and thereby only impacts the particular UE’s performance, without any significant impact to system performance. This should be an optional feature</w:t>
      </w:r>
      <w:r>
        <w:rPr>
          <w:rFonts w:ascii="Arial" w:eastAsia="MS PGothic" w:hAnsi="Arial" w:cs="Arial"/>
          <w:kern w:val="0"/>
          <w:sz w:val="18"/>
          <w:szCs w:val="18"/>
        </w:rPr>
        <w:t xml:space="preserve"> as it significantly increases UE complexity in PDSCH decoding.</w:t>
      </w:r>
    </w:p>
    <w:p w14:paraId="140B88F2" w14:textId="77777777" w:rsidR="0073382B" w:rsidRDefault="0073382B" w:rsidP="0073382B">
      <w:pPr>
        <w:pStyle w:val="LGTdoc"/>
        <w:spacing w:before="20" w:afterLines="0" w:line="240" w:lineRule="auto"/>
        <w:rPr>
          <w:rFonts w:ascii="Arial" w:eastAsia="MS PGothic" w:hAnsi="Arial" w:cs="Arial"/>
          <w:kern w:val="0"/>
          <w:sz w:val="18"/>
          <w:szCs w:val="18"/>
        </w:rPr>
      </w:pPr>
    </w:p>
    <w:p w14:paraId="19916277" w14:textId="18ED78C3" w:rsidR="0073382B" w:rsidRPr="00014284" w:rsidRDefault="0073382B" w:rsidP="0073382B">
      <w:pPr>
        <w:pStyle w:val="LGTdoc"/>
        <w:spacing w:before="20" w:afterLines="0" w:line="240" w:lineRule="auto"/>
        <w:rPr>
          <w:rFonts w:ascii="Arial" w:eastAsia="MS PGothic" w:hAnsi="Arial" w:cs="Arial"/>
          <w:b/>
          <w:kern w:val="0"/>
          <w:sz w:val="18"/>
          <w:szCs w:val="18"/>
          <w:u w:val="single"/>
        </w:rPr>
      </w:pPr>
      <w:r w:rsidRPr="00014284">
        <w:rPr>
          <w:rFonts w:ascii="Arial" w:eastAsia="MS PGothic" w:hAnsi="Arial" w:cs="Arial"/>
          <w:b/>
          <w:kern w:val="0"/>
          <w:sz w:val="18"/>
          <w:szCs w:val="18"/>
          <w:u w:val="single"/>
        </w:rPr>
        <w:t>5-</w:t>
      </w:r>
      <w:r>
        <w:rPr>
          <w:rFonts w:ascii="Arial" w:eastAsia="MS PGothic" w:hAnsi="Arial" w:cs="Arial"/>
          <w:b/>
          <w:kern w:val="0"/>
          <w:sz w:val="18"/>
          <w:szCs w:val="18"/>
          <w:u w:val="single"/>
        </w:rPr>
        <w:t xml:space="preserve">28: </w:t>
      </w:r>
      <w:r w:rsidRPr="00014284">
        <w:rPr>
          <w:rFonts w:ascii="Arial" w:eastAsia="MS PGothic" w:hAnsi="Arial" w:cs="Arial"/>
          <w:b/>
          <w:kern w:val="0"/>
          <w:sz w:val="18"/>
          <w:szCs w:val="18"/>
          <w:u w:val="single"/>
        </w:rPr>
        <w:t>Rate-matching around LTE CRS</w:t>
      </w:r>
      <w:r w:rsidR="00001223">
        <w:rPr>
          <w:rFonts w:ascii="Arial" w:eastAsia="MS PGothic" w:hAnsi="Arial" w:cs="Arial"/>
          <w:b/>
          <w:kern w:val="0"/>
          <w:sz w:val="18"/>
          <w:szCs w:val="18"/>
          <w:u w:val="single"/>
        </w:rPr>
        <w:t>: Optional with capability signaling</w:t>
      </w:r>
      <w:r>
        <w:rPr>
          <w:rFonts w:ascii="Arial" w:eastAsia="MS PGothic" w:hAnsi="Arial" w:cs="Arial"/>
          <w:b/>
          <w:kern w:val="0"/>
          <w:sz w:val="18"/>
          <w:szCs w:val="18"/>
          <w:u w:val="single"/>
        </w:rPr>
        <w:t xml:space="preserve"> </w:t>
      </w:r>
    </w:p>
    <w:p w14:paraId="797B2BB2" w14:textId="77777777" w:rsidR="0073382B" w:rsidRPr="00014284" w:rsidRDefault="0073382B" w:rsidP="0073382B">
      <w:pPr>
        <w:pStyle w:val="LGTdoc"/>
        <w:spacing w:before="20" w:afterLines="0" w:line="240" w:lineRule="auto"/>
        <w:rPr>
          <w:rFonts w:ascii="Arial" w:eastAsia="MS PGothic" w:hAnsi="Arial" w:cs="Arial"/>
          <w:kern w:val="0"/>
          <w:sz w:val="18"/>
          <w:szCs w:val="18"/>
        </w:rPr>
      </w:pPr>
    </w:p>
    <w:p w14:paraId="48A4076F" w14:textId="6C57CA37" w:rsidR="0073382B" w:rsidRDefault="0073382B" w:rsidP="0073382B">
      <w:pPr>
        <w:pStyle w:val="LGTdoc"/>
        <w:spacing w:before="20" w:afterLines="0" w:line="240" w:lineRule="auto"/>
        <w:rPr>
          <w:sz w:val="20"/>
          <w:lang w:val="en-US"/>
        </w:rPr>
      </w:pPr>
      <w:r w:rsidRPr="00014284">
        <w:rPr>
          <w:rFonts w:ascii="Arial" w:eastAsia="MS PGothic" w:hAnsi="Arial" w:cs="Arial"/>
          <w:kern w:val="0"/>
          <w:sz w:val="18"/>
          <w:szCs w:val="18"/>
        </w:rPr>
        <w:t xml:space="preserve">Rate-matching around LTE CRS is not essential as a mandatory feature for all UEs. </w:t>
      </w:r>
      <w:r>
        <w:rPr>
          <w:rFonts w:ascii="Arial" w:eastAsia="MS PGothic" w:hAnsi="Arial" w:cs="Arial"/>
          <w:kern w:val="0"/>
          <w:sz w:val="18"/>
          <w:szCs w:val="18"/>
        </w:rPr>
        <w:t>T</w:t>
      </w:r>
      <w:r w:rsidRPr="00014284">
        <w:rPr>
          <w:rFonts w:ascii="Arial" w:eastAsia="MS PGothic" w:hAnsi="Arial" w:cs="Arial"/>
          <w:kern w:val="0"/>
          <w:sz w:val="18"/>
          <w:szCs w:val="18"/>
        </w:rPr>
        <w:t>he impact on overall NR PDSCH performance can be quite limited</w:t>
      </w:r>
      <w:r>
        <w:rPr>
          <w:rFonts w:ascii="Arial" w:eastAsia="MS PGothic" w:hAnsi="Arial" w:cs="Arial"/>
          <w:kern w:val="0"/>
          <w:sz w:val="18"/>
          <w:szCs w:val="18"/>
        </w:rPr>
        <w:t>. Following the definition in RP-</w:t>
      </w:r>
      <w:r w:rsidRPr="00014284">
        <w:rPr>
          <w:rFonts w:ascii="Arial" w:eastAsia="MS PGothic" w:hAnsi="Arial" w:cs="Arial"/>
          <w:kern w:val="0"/>
          <w:sz w:val="18"/>
          <w:szCs w:val="18"/>
        </w:rPr>
        <w:t>172816</w:t>
      </w:r>
      <w:r w:rsidR="000C6C6D">
        <w:rPr>
          <w:rFonts w:ascii="Arial" w:eastAsia="MS PGothic" w:hAnsi="Arial" w:cs="Arial"/>
          <w:kern w:val="0"/>
          <w:sz w:val="18"/>
          <w:szCs w:val="18"/>
        </w:rPr>
        <w:t xml:space="preserve"> [2]</w:t>
      </w:r>
      <w:r>
        <w:rPr>
          <w:rFonts w:ascii="Arial" w:eastAsia="MS PGothic" w:hAnsi="Arial" w:cs="Arial"/>
          <w:kern w:val="0"/>
          <w:sz w:val="18"/>
          <w:szCs w:val="18"/>
        </w:rPr>
        <w:t xml:space="preserve">, this is not a feature </w:t>
      </w:r>
      <w:r w:rsidRPr="00014284">
        <w:rPr>
          <w:rFonts w:ascii="Arial" w:eastAsia="MS PGothic" w:hAnsi="Arial" w:cs="Arial"/>
          <w:kern w:val="0"/>
          <w:sz w:val="18"/>
          <w:szCs w:val="18"/>
        </w:rPr>
        <w:t xml:space="preserve">that “drastically impacts system performance” if </w:t>
      </w:r>
      <w:r>
        <w:rPr>
          <w:rFonts w:ascii="Arial" w:eastAsia="MS PGothic" w:hAnsi="Arial" w:cs="Arial"/>
          <w:kern w:val="0"/>
          <w:sz w:val="18"/>
          <w:szCs w:val="18"/>
        </w:rPr>
        <w:t>certain</w:t>
      </w:r>
      <w:r w:rsidRPr="00014284">
        <w:rPr>
          <w:rFonts w:ascii="Arial" w:eastAsia="MS PGothic" w:hAnsi="Arial" w:cs="Arial"/>
          <w:kern w:val="0"/>
          <w:sz w:val="18"/>
          <w:szCs w:val="18"/>
        </w:rPr>
        <w:t xml:space="preserve"> UEs do</w:t>
      </w:r>
      <w:r>
        <w:rPr>
          <w:rFonts w:ascii="Arial" w:eastAsia="MS PGothic" w:hAnsi="Arial" w:cs="Arial"/>
          <w:kern w:val="0"/>
          <w:sz w:val="18"/>
          <w:szCs w:val="18"/>
        </w:rPr>
        <w:t xml:space="preserve"> no</w:t>
      </w:r>
      <w:r w:rsidRPr="00014284">
        <w:rPr>
          <w:rFonts w:ascii="Arial" w:eastAsia="MS PGothic" w:hAnsi="Arial" w:cs="Arial"/>
          <w:kern w:val="0"/>
          <w:sz w:val="18"/>
          <w:szCs w:val="18"/>
        </w:rPr>
        <w:t>t support this feature</w:t>
      </w:r>
      <w:r>
        <w:rPr>
          <w:rFonts w:ascii="Arial" w:eastAsia="MS PGothic" w:hAnsi="Arial" w:cs="Arial"/>
          <w:kern w:val="0"/>
          <w:sz w:val="18"/>
          <w:szCs w:val="18"/>
        </w:rPr>
        <w:t>. On the other hand, the support of this feature increases UE complexity in PDSCH reception due to having to keep track of LTE CRS locations based on LTE system configuration and having to perform different rate-matching depending on the slot and relative location of the PDSCH scheduled within the slot duration.</w:t>
      </w:r>
    </w:p>
    <w:p w14:paraId="4D099363" w14:textId="77777777" w:rsidR="005E0274" w:rsidRDefault="005E0274" w:rsidP="00CE6E7B">
      <w:pPr>
        <w:pStyle w:val="LGTdoc"/>
        <w:spacing w:before="20" w:afterLines="0" w:line="240" w:lineRule="auto"/>
        <w:rPr>
          <w:sz w:val="20"/>
          <w:lang w:val="en-US"/>
        </w:rPr>
      </w:pPr>
    </w:p>
    <w:p w14:paraId="5A260C22" w14:textId="3D7FA8F2" w:rsidR="00106873" w:rsidRPr="00B04EB4" w:rsidRDefault="00986BC9" w:rsidP="00CE6E7B">
      <w:pPr>
        <w:pStyle w:val="LGTdoc"/>
        <w:spacing w:before="20" w:afterLines="0" w:line="240" w:lineRule="auto"/>
        <w:rPr>
          <w:rFonts w:eastAsia="MS PGothic"/>
          <w:b/>
          <w:kern w:val="0"/>
          <w:sz w:val="20"/>
          <w:szCs w:val="18"/>
          <w:u w:val="single"/>
        </w:rPr>
      </w:pPr>
      <w:r w:rsidRPr="00B04EB4">
        <w:rPr>
          <w:b/>
          <w:sz w:val="20"/>
          <w:szCs w:val="18"/>
          <w:u w:val="single"/>
          <w:lang w:val="en-US"/>
        </w:rPr>
        <w:t xml:space="preserve">6-2: </w:t>
      </w:r>
      <w:r w:rsidRPr="00B04EB4">
        <w:rPr>
          <w:rFonts w:eastAsia="MS PGothic"/>
          <w:b/>
          <w:kern w:val="0"/>
          <w:sz w:val="20"/>
          <w:szCs w:val="18"/>
          <w:u w:val="single"/>
        </w:rPr>
        <w:t xml:space="preserve">Type A BWP adaptation with same numerology </w:t>
      </w:r>
      <w:r w:rsidRPr="00B04EB4">
        <w:rPr>
          <w:rFonts w:eastAsia="MS PGothic"/>
          <w:b/>
          <w:color w:val="FF0000"/>
          <w:kern w:val="0"/>
          <w:sz w:val="20"/>
          <w:szCs w:val="18"/>
          <w:u w:val="single"/>
        </w:rPr>
        <w:t>with restriction of search space and BWP</w:t>
      </w:r>
    </w:p>
    <w:p w14:paraId="4C13289C" w14:textId="287AD8CD" w:rsidR="00C00630" w:rsidRPr="00B04EB4" w:rsidRDefault="00C00630" w:rsidP="00CE6E7B">
      <w:pPr>
        <w:pStyle w:val="LGTdoc"/>
        <w:spacing w:before="20" w:afterLines="0" w:line="240" w:lineRule="auto"/>
        <w:rPr>
          <w:rFonts w:eastAsia="MS PGothic"/>
          <w:b/>
          <w:color w:val="FF0000"/>
          <w:kern w:val="0"/>
          <w:sz w:val="20"/>
          <w:szCs w:val="18"/>
          <w:u w:val="single"/>
        </w:rPr>
      </w:pPr>
      <w:r w:rsidRPr="00B04EB4">
        <w:rPr>
          <w:rFonts w:eastAsia="MS PGothic"/>
          <w:b/>
          <w:color w:val="FF0000"/>
          <w:kern w:val="0"/>
          <w:sz w:val="20"/>
          <w:szCs w:val="18"/>
          <w:u w:val="single"/>
        </w:rPr>
        <w:t>6-2a: Type A BWP adaptation with same numerology without restriction of search space and BWP (New)</w:t>
      </w:r>
    </w:p>
    <w:p w14:paraId="060D9164" w14:textId="64EEFB5B" w:rsidR="00C00630" w:rsidRPr="00B04EB4" w:rsidRDefault="00C00630" w:rsidP="00CE6E7B">
      <w:pPr>
        <w:pStyle w:val="LGTdoc"/>
        <w:spacing w:before="20" w:afterLines="0" w:line="240" w:lineRule="auto"/>
        <w:rPr>
          <w:rFonts w:eastAsia="MS PGothic"/>
          <w:b/>
          <w:kern w:val="0"/>
          <w:sz w:val="20"/>
          <w:szCs w:val="18"/>
          <w:u w:val="single"/>
        </w:rPr>
      </w:pPr>
      <w:r w:rsidRPr="00B04EB4">
        <w:rPr>
          <w:rFonts w:eastAsia="MS PGothic"/>
          <w:b/>
          <w:kern w:val="0"/>
          <w:sz w:val="20"/>
          <w:szCs w:val="18"/>
          <w:u w:val="single"/>
        </w:rPr>
        <w:t xml:space="preserve">6-3: Type B BWP adaptation with same numerology </w:t>
      </w:r>
      <w:r w:rsidRPr="00B04EB4">
        <w:rPr>
          <w:rFonts w:eastAsia="MS PGothic"/>
          <w:b/>
          <w:color w:val="FF0000"/>
          <w:kern w:val="0"/>
          <w:sz w:val="20"/>
          <w:szCs w:val="18"/>
          <w:u w:val="single"/>
        </w:rPr>
        <w:t>with restriction of search space and BWP</w:t>
      </w:r>
    </w:p>
    <w:p w14:paraId="3F2DB15E" w14:textId="11F202D8" w:rsidR="00C00630" w:rsidRPr="00B04EB4" w:rsidRDefault="00C00630" w:rsidP="00CE6E7B">
      <w:pPr>
        <w:pStyle w:val="LGTdoc"/>
        <w:spacing w:before="20" w:afterLines="0" w:line="240" w:lineRule="auto"/>
        <w:rPr>
          <w:rFonts w:eastAsia="MS PGothic"/>
          <w:b/>
          <w:color w:val="FF0000"/>
          <w:kern w:val="0"/>
          <w:sz w:val="20"/>
          <w:szCs w:val="18"/>
          <w:u w:val="single"/>
        </w:rPr>
      </w:pPr>
      <w:r w:rsidRPr="00B04EB4">
        <w:rPr>
          <w:rFonts w:eastAsia="MS PGothic"/>
          <w:b/>
          <w:color w:val="FF0000"/>
          <w:kern w:val="0"/>
          <w:sz w:val="20"/>
          <w:szCs w:val="18"/>
          <w:u w:val="single"/>
        </w:rPr>
        <w:t>6-3a: Type B BWP adaptation with same numerology without restriction of search space and BWP (New)</w:t>
      </w:r>
    </w:p>
    <w:p w14:paraId="5BF994B6" w14:textId="77777777" w:rsidR="00C00630" w:rsidRDefault="00C00630" w:rsidP="00CE6E7B">
      <w:pPr>
        <w:pStyle w:val="LGTdoc"/>
        <w:spacing w:before="20" w:afterLines="0" w:line="240" w:lineRule="auto"/>
        <w:rPr>
          <w:rFonts w:ascii="Arial" w:eastAsia="MS PGothic" w:hAnsi="Arial" w:cs="Arial"/>
          <w:kern w:val="0"/>
          <w:sz w:val="18"/>
          <w:szCs w:val="18"/>
        </w:rPr>
      </w:pPr>
    </w:p>
    <w:p w14:paraId="10CB01DB" w14:textId="77777777" w:rsidR="00C00630" w:rsidRDefault="00C00630" w:rsidP="00CE6E7B">
      <w:pPr>
        <w:pStyle w:val="LGTdoc"/>
        <w:spacing w:before="20" w:afterLines="0" w:line="240" w:lineRule="auto"/>
        <w:rPr>
          <w:rFonts w:ascii="Arial" w:eastAsia="MS PGothic" w:hAnsi="Arial" w:cs="Arial"/>
          <w:kern w:val="0"/>
          <w:sz w:val="18"/>
          <w:szCs w:val="18"/>
        </w:rPr>
      </w:pPr>
    </w:p>
    <w:p w14:paraId="1609BF97" w14:textId="1DF63E81" w:rsidR="00C00630" w:rsidRDefault="003C3F9F" w:rsidP="00CE6E7B">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The components 5) and 6) shown below also need to be applicable for 4 BWP cases, if they are beneficial. Thus, it is proposed to create four feature lists as in 6-2/6-2a/6-3/6-3a.</w:t>
      </w:r>
      <w:r w:rsidR="00D301A3">
        <w:rPr>
          <w:rFonts w:ascii="Arial" w:eastAsia="MS PGothic" w:hAnsi="Arial" w:cs="Arial"/>
          <w:kern w:val="0"/>
          <w:sz w:val="18"/>
          <w:szCs w:val="18"/>
        </w:rPr>
        <w:t xml:space="preserve"> All those features are optional with capability signalling.</w:t>
      </w:r>
    </w:p>
    <w:p w14:paraId="2CBDD2EB" w14:textId="77777777" w:rsidR="003C3F9F" w:rsidRDefault="003C3F9F" w:rsidP="00CE6E7B">
      <w:pPr>
        <w:pStyle w:val="LGTdoc"/>
        <w:spacing w:before="20" w:afterLines="0" w:line="240" w:lineRule="auto"/>
        <w:rPr>
          <w:rFonts w:ascii="Arial" w:eastAsia="MS PGothic" w:hAnsi="Arial" w:cs="Arial"/>
          <w:kern w:val="0"/>
          <w:sz w:val="18"/>
          <w:szCs w:val="18"/>
        </w:rPr>
      </w:pPr>
    </w:p>
    <w:p w14:paraId="0F07D24F" w14:textId="49124B7D" w:rsidR="00C00630" w:rsidRPr="008B09A8" w:rsidRDefault="00D301A3" w:rsidP="00CE6E7B">
      <w:pPr>
        <w:pStyle w:val="LGTdoc"/>
        <w:spacing w:before="20" w:afterLines="0" w:line="240" w:lineRule="auto"/>
        <w:rPr>
          <w:rFonts w:ascii="Arial" w:eastAsia="MS PGothic" w:hAnsi="Arial" w:cs="Arial"/>
          <w:b/>
          <w:kern w:val="0"/>
          <w:sz w:val="18"/>
          <w:szCs w:val="18"/>
          <w:u w:val="single"/>
        </w:rPr>
      </w:pPr>
      <w:r w:rsidRPr="008B09A8">
        <w:rPr>
          <w:rFonts w:ascii="Arial" w:eastAsia="MS PGothic" w:hAnsi="Arial" w:cs="Arial"/>
          <w:b/>
          <w:kern w:val="0"/>
          <w:sz w:val="18"/>
          <w:szCs w:val="18"/>
          <w:u w:val="single"/>
        </w:rPr>
        <w:t>6-13: Case 1 Single Tx UL LTE-NR DC</w:t>
      </w:r>
      <w:r w:rsidR="008B09A8">
        <w:rPr>
          <w:rFonts w:ascii="Arial" w:eastAsia="MS PGothic" w:hAnsi="Arial" w:cs="Arial"/>
          <w:b/>
          <w:kern w:val="0"/>
          <w:sz w:val="18"/>
          <w:szCs w:val="18"/>
          <w:u w:val="single"/>
        </w:rPr>
        <w:t>: Optional with capability signaling</w:t>
      </w:r>
    </w:p>
    <w:p w14:paraId="50EEC5F4" w14:textId="407F0B87" w:rsidR="00D301A3" w:rsidRPr="008B09A8" w:rsidRDefault="00D301A3" w:rsidP="00CE6E7B">
      <w:pPr>
        <w:pStyle w:val="LGTdoc"/>
        <w:spacing w:before="20" w:afterLines="0" w:line="240" w:lineRule="auto"/>
        <w:rPr>
          <w:rFonts w:ascii="Arial" w:eastAsia="MS PGothic" w:hAnsi="Arial" w:cs="Arial"/>
          <w:b/>
          <w:color w:val="FF0000"/>
          <w:kern w:val="0"/>
          <w:sz w:val="18"/>
          <w:szCs w:val="18"/>
          <w:u w:val="single"/>
        </w:rPr>
      </w:pPr>
      <w:r w:rsidRPr="008B09A8">
        <w:rPr>
          <w:rFonts w:ascii="Arial" w:eastAsia="MS PGothic" w:hAnsi="Arial" w:cs="Arial"/>
          <w:b/>
          <w:color w:val="FF0000"/>
          <w:kern w:val="0"/>
          <w:sz w:val="18"/>
          <w:szCs w:val="18"/>
          <w:u w:val="single"/>
        </w:rPr>
        <w:t>6-14: HARQ subframe offset for Case 1 Single Tx UL LTE-NR DC</w:t>
      </w:r>
      <w:r w:rsidR="008B09A8">
        <w:rPr>
          <w:rFonts w:ascii="Arial" w:eastAsia="MS PGothic" w:hAnsi="Arial" w:cs="Arial"/>
          <w:b/>
          <w:color w:val="FF0000"/>
          <w:kern w:val="0"/>
          <w:sz w:val="18"/>
          <w:szCs w:val="18"/>
          <w:u w:val="single"/>
        </w:rPr>
        <w:t xml:space="preserve"> (New): Optional with capability signaling</w:t>
      </w:r>
    </w:p>
    <w:p w14:paraId="3A1BDAFE" w14:textId="77777777" w:rsidR="00C00630" w:rsidRDefault="00C00630" w:rsidP="00CE6E7B">
      <w:pPr>
        <w:pStyle w:val="LGTdoc"/>
        <w:spacing w:before="20" w:afterLines="0" w:line="240" w:lineRule="auto"/>
        <w:rPr>
          <w:rFonts w:ascii="Arial" w:eastAsia="MS PGothic" w:hAnsi="Arial" w:cs="Arial"/>
          <w:kern w:val="0"/>
          <w:sz w:val="18"/>
          <w:szCs w:val="18"/>
        </w:rPr>
      </w:pPr>
    </w:p>
    <w:p w14:paraId="51D6D1E1" w14:textId="6B8091FF" w:rsidR="008B09A8" w:rsidRDefault="008B09A8" w:rsidP="00CE6E7B">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As discussed in email reflector, RAN1 agreed the following:</w:t>
      </w:r>
    </w:p>
    <w:p w14:paraId="118D0EE1" w14:textId="77777777" w:rsidR="008B09A8" w:rsidRDefault="008B09A8" w:rsidP="00CE6E7B">
      <w:pPr>
        <w:pStyle w:val="LGTdoc"/>
        <w:spacing w:before="20" w:afterLines="0" w:line="240" w:lineRule="auto"/>
        <w:rPr>
          <w:rFonts w:ascii="Arial" w:eastAsia="MS PGothic" w:hAnsi="Arial" w:cs="Arial"/>
          <w:kern w:val="0"/>
          <w:sz w:val="18"/>
          <w:szCs w:val="18"/>
        </w:rPr>
      </w:pPr>
    </w:p>
    <w:tbl>
      <w:tblPr>
        <w:tblStyle w:val="TableGrid"/>
        <w:tblW w:w="0" w:type="auto"/>
        <w:tblLook w:val="04A0" w:firstRow="1" w:lastRow="0" w:firstColumn="1" w:lastColumn="0" w:noHBand="0" w:noVBand="1"/>
      </w:tblPr>
      <w:tblGrid>
        <w:gridCol w:w="9962"/>
      </w:tblGrid>
      <w:tr w:rsidR="008B09A8" w14:paraId="5376E2E8" w14:textId="77777777" w:rsidTr="008B09A8">
        <w:tc>
          <w:tcPr>
            <w:tcW w:w="9962" w:type="dxa"/>
          </w:tcPr>
          <w:p w14:paraId="748A5818" w14:textId="77777777" w:rsidR="008B09A8" w:rsidRDefault="008B09A8" w:rsidP="008B09A8">
            <w:pPr>
              <w:rPr>
                <w:lang w:val="en-US" w:eastAsia="ko-KR"/>
              </w:rPr>
            </w:pPr>
            <w:r>
              <w:rPr>
                <w:highlight w:val="green"/>
              </w:rPr>
              <w:t>Agreements:</w:t>
            </w:r>
          </w:p>
          <w:p w14:paraId="7A629351" w14:textId="77777777" w:rsidR="008B09A8" w:rsidRDefault="008B09A8" w:rsidP="008B09A8">
            <w:pPr>
              <w:numPr>
                <w:ilvl w:val="0"/>
                <w:numId w:val="20"/>
              </w:numPr>
              <w:overflowPunct/>
              <w:autoSpaceDE/>
              <w:autoSpaceDN/>
              <w:adjustRightInd/>
              <w:spacing w:after="0"/>
              <w:ind w:left="1440"/>
              <w:textAlignment w:val="auto"/>
              <w:rPr>
                <w:rFonts w:ascii="Times" w:hAnsi="Times" w:cs="Times"/>
                <w:sz w:val="22"/>
                <w:szCs w:val="22"/>
              </w:rPr>
            </w:pPr>
            <w:r>
              <w:t xml:space="preserve">In Case 1, LTE TDD UL HARQ timing is supported and the UE is allowed to transmit only in the subframes designated as UL in the reference TDD configuration. </w:t>
            </w:r>
            <w:r>
              <w:rPr>
                <w:highlight w:val="yellow"/>
              </w:rPr>
              <w:t>Additionally, a UE-specific HARQ subframe offset can be configured</w:t>
            </w:r>
            <w:r>
              <w:t>.</w:t>
            </w:r>
          </w:p>
          <w:p w14:paraId="32BA7B58" w14:textId="77777777" w:rsidR="008B09A8" w:rsidRDefault="008B09A8" w:rsidP="008B09A8">
            <w:pPr>
              <w:numPr>
                <w:ilvl w:val="1"/>
                <w:numId w:val="20"/>
              </w:numPr>
              <w:overflowPunct/>
              <w:autoSpaceDE/>
              <w:autoSpaceDN/>
              <w:adjustRightInd/>
              <w:spacing w:after="0"/>
              <w:ind w:left="2160"/>
              <w:textAlignment w:val="auto"/>
              <w:rPr>
                <w:rFonts w:ascii="Calibri" w:hAnsi="Calibri"/>
                <w:lang w:val="en-US"/>
              </w:rPr>
            </w:pPr>
            <w:r>
              <w:t>The offset (HARQ_offset) is in the range [0…9]</w:t>
            </w:r>
          </w:p>
          <w:p w14:paraId="371AAE9E" w14:textId="77777777" w:rsidR="008B09A8" w:rsidRDefault="008B09A8" w:rsidP="008B09A8">
            <w:pPr>
              <w:numPr>
                <w:ilvl w:val="1"/>
                <w:numId w:val="20"/>
              </w:numPr>
              <w:overflowPunct/>
              <w:autoSpaceDE/>
              <w:autoSpaceDN/>
              <w:adjustRightInd/>
              <w:spacing w:after="0"/>
              <w:ind w:left="2160"/>
              <w:textAlignment w:val="auto"/>
            </w:pPr>
            <w:r>
              <w:t>The offset doesn’t change any subframe or slot number</w:t>
            </w:r>
          </w:p>
          <w:p w14:paraId="15A9C076" w14:textId="77777777" w:rsidR="008B09A8" w:rsidRDefault="008B09A8" w:rsidP="008B09A8">
            <w:pPr>
              <w:numPr>
                <w:ilvl w:val="1"/>
                <w:numId w:val="20"/>
              </w:numPr>
              <w:overflowPunct/>
              <w:autoSpaceDE/>
              <w:autoSpaceDN/>
              <w:adjustRightInd/>
              <w:spacing w:after="0"/>
              <w:ind w:left="2160"/>
              <w:textAlignment w:val="auto"/>
            </w:pPr>
            <w:r>
              <w:t xml:space="preserve">If, </w:t>
            </w:r>
            <w:r>
              <w:rPr>
                <w:highlight w:val="yellow"/>
              </w:rPr>
              <w:t>before applying the offset</w:t>
            </w:r>
            <w:r>
              <w:t xml:space="preserve">, the HARQ feedback for DL SF number m was mapped to UL SF number n, then </w:t>
            </w:r>
            <w:r>
              <w:rPr>
                <w:highlight w:val="yellow"/>
              </w:rPr>
              <w:t>after the offset</w:t>
            </w:r>
            <w:r>
              <w:t>, the HARQ feedback for DL SF number (m + HARQ_offset) is mapped to UL SF number (n + HARQ_offset)</w:t>
            </w:r>
          </w:p>
          <w:p w14:paraId="2C493946" w14:textId="77777777" w:rsidR="008B09A8" w:rsidRDefault="008B09A8" w:rsidP="008B09A8">
            <w:pPr>
              <w:numPr>
                <w:ilvl w:val="1"/>
                <w:numId w:val="20"/>
              </w:numPr>
              <w:overflowPunct/>
              <w:autoSpaceDE/>
              <w:autoSpaceDN/>
              <w:adjustRightInd/>
              <w:spacing w:after="0"/>
              <w:ind w:left="2160"/>
              <w:textAlignment w:val="auto"/>
            </w:pPr>
            <w:r>
              <w:t>If, before applying the offset, the PUSCH in SF number m was scheduled (by UL grant or PHICH) in SF number n, then after the offset, the PUSCH in SF number (m + HARQ_offset) is scheduled (by UL grant or PHICH) in SF number (n + HARQ_offset)</w:t>
            </w:r>
          </w:p>
          <w:p w14:paraId="1026F412" w14:textId="77777777" w:rsidR="008B09A8" w:rsidRDefault="008B09A8" w:rsidP="008B09A8">
            <w:pPr>
              <w:numPr>
                <w:ilvl w:val="1"/>
                <w:numId w:val="20"/>
              </w:numPr>
              <w:overflowPunct/>
              <w:autoSpaceDE/>
              <w:autoSpaceDN/>
              <w:adjustRightInd/>
              <w:spacing w:after="0"/>
              <w:ind w:left="2160"/>
              <w:textAlignment w:val="auto"/>
            </w:pPr>
            <w:r>
              <w:t>If, before applying the offset, the HARQ-ACK (if carried on PHICH) corresponding to PUSCH in SF number m was transmitted in SF number n, then after the offset, the HARQ-ACK (if carried on PHICH) corresponding to PUSCH in SF number (m + HARQ_offset) is transmitted in SF number (n + HARQ_offset)</w:t>
            </w:r>
          </w:p>
          <w:p w14:paraId="416E0E83" w14:textId="77777777" w:rsidR="008B09A8" w:rsidRDefault="008B09A8" w:rsidP="008B09A8">
            <w:pPr>
              <w:numPr>
                <w:ilvl w:val="1"/>
                <w:numId w:val="20"/>
              </w:numPr>
              <w:overflowPunct/>
              <w:autoSpaceDE/>
              <w:autoSpaceDN/>
              <w:adjustRightInd/>
              <w:spacing w:after="0"/>
              <w:ind w:left="2160"/>
              <w:textAlignment w:val="auto"/>
            </w:pPr>
            <w:r>
              <w:t>SRS and PRACH transmission may only occur in subframes indicated as UL in the reference TDD configuration but shifted by the configured non-zero HARQ_offset</w:t>
            </w:r>
          </w:p>
          <w:p w14:paraId="7C5E9494" w14:textId="77777777" w:rsidR="008B09A8" w:rsidRDefault="008B09A8" w:rsidP="00CE6E7B">
            <w:pPr>
              <w:pStyle w:val="LGTdoc"/>
              <w:spacing w:before="20" w:afterLines="0" w:line="240" w:lineRule="auto"/>
              <w:rPr>
                <w:rFonts w:ascii="Arial" w:eastAsia="MS PGothic" w:hAnsi="Arial" w:cs="Arial"/>
                <w:kern w:val="0"/>
                <w:sz w:val="18"/>
                <w:szCs w:val="18"/>
              </w:rPr>
            </w:pPr>
          </w:p>
        </w:tc>
      </w:tr>
    </w:tbl>
    <w:p w14:paraId="3E6DCFAF" w14:textId="77777777" w:rsidR="008B09A8" w:rsidRDefault="008B09A8" w:rsidP="00CE6E7B">
      <w:pPr>
        <w:pStyle w:val="LGTdoc"/>
        <w:spacing w:before="20" w:afterLines="0" w:line="240" w:lineRule="auto"/>
        <w:rPr>
          <w:rFonts w:ascii="Arial" w:eastAsia="MS PGothic" w:hAnsi="Arial" w:cs="Arial"/>
          <w:kern w:val="0"/>
          <w:sz w:val="18"/>
          <w:szCs w:val="18"/>
        </w:rPr>
      </w:pPr>
    </w:p>
    <w:p w14:paraId="362F855E" w14:textId="7FDD961A" w:rsidR="008B09A8" w:rsidRDefault="008B09A8" w:rsidP="00CE6E7B">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Therefore, it needs a separate UE feature with optional with capability signalling for HARQ offset for the case of Case 1.</w:t>
      </w:r>
    </w:p>
    <w:p w14:paraId="59AD2840" w14:textId="77777777" w:rsidR="00C00630" w:rsidRDefault="00C00630" w:rsidP="00CE6E7B">
      <w:pPr>
        <w:pStyle w:val="LGTdoc"/>
        <w:spacing w:before="20" w:afterLines="0" w:line="240" w:lineRule="auto"/>
        <w:rPr>
          <w:sz w:val="20"/>
          <w:lang w:val="en-US"/>
        </w:rPr>
      </w:pPr>
    </w:p>
    <w:p w14:paraId="485D0BDB" w14:textId="77777777" w:rsidR="00AE5EA5" w:rsidRPr="00FC7BBB" w:rsidRDefault="00AE5EA5"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40596FDD" w14:textId="330A720D" w:rsidR="006266E5" w:rsidRDefault="00970EC2" w:rsidP="00DB4FD0">
      <w:pPr>
        <w:pStyle w:val="LGTdoc"/>
        <w:spacing w:before="120" w:after="120"/>
        <w:ind w:left="300" w:hangingChars="150" w:hanging="300"/>
        <w:jc w:val="left"/>
        <w:rPr>
          <w:sz w:val="20"/>
        </w:rPr>
      </w:pPr>
      <w:r w:rsidRPr="00FC7BBB">
        <w:rPr>
          <w:sz w:val="20"/>
        </w:rPr>
        <w:t xml:space="preserve">[1] </w:t>
      </w:r>
      <w:r w:rsidR="00607979" w:rsidRPr="00607979">
        <w:rPr>
          <w:sz w:val="20"/>
        </w:rPr>
        <w:t>R1-1805752</w:t>
      </w:r>
      <w:r w:rsidR="00CE6E7B">
        <w:rPr>
          <w:sz w:val="20"/>
        </w:rPr>
        <w:t xml:space="preserve">, </w:t>
      </w:r>
      <w:r w:rsidR="00607979" w:rsidRPr="00607979">
        <w:rPr>
          <w:sz w:val="20"/>
        </w:rPr>
        <w:t>LS on NR UE feature list</w:t>
      </w:r>
      <w:r w:rsidR="00CE6E7B">
        <w:rPr>
          <w:sz w:val="20"/>
        </w:rPr>
        <w:t>, RAN</w:t>
      </w:r>
      <w:r w:rsidR="00607979">
        <w:rPr>
          <w:sz w:val="20"/>
        </w:rPr>
        <w:t>1</w:t>
      </w:r>
    </w:p>
    <w:p w14:paraId="0ED98E45" w14:textId="4DF3CBD6" w:rsidR="00CE6E7B" w:rsidRDefault="00CE6E7B" w:rsidP="00CE6E7B">
      <w:pPr>
        <w:pStyle w:val="LGTdoc"/>
        <w:spacing w:before="120" w:after="120"/>
        <w:ind w:left="300" w:hangingChars="150" w:hanging="300"/>
        <w:jc w:val="left"/>
        <w:rPr>
          <w:sz w:val="20"/>
        </w:rPr>
      </w:pPr>
      <w:r>
        <w:rPr>
          <w:sz w:val="20"/>
        </w:rPr>
        <w:t xml:space="preserve">[2] </w:t>
      </w:r>
      <w:r w:rsidRPr="00CE6E7B">
        <w:rPr>
          <w:bCs/>
          <w:sz w:val="20"/>
          <w:lang w:val="es-ES"/>
        </w:rPr>
        <w:t>RP-172816</w:t>
      </w:r>
      <w:r w:rsidRPr="00CE6E7B">
        <w:rPr>
          <w:sz w:val="20"/>
        </w:rPr>
        <w:t>, UE capabilities and feature deployment phasing for NR, Vodafone</w:t>
      </w:r>
    </w:p>
    <w:p w14:paraId="63F47A20" w14:textId="11A33885" w:rsidR="00415427" w:rsidRDefault="00415427" w:rsidP="00CE6E7B">
      <w:pPr>
        <w:pStyle w:val="LGTdoc"/>
        <w:spacing w:before="120" w:after="120"/>
        <w:ind w:left="300" w:hangingChars="150" w:hanging="300"/>
        <w:jc w:val="left"/>
        <w:rPr>
          <w:sz w:val="20"/>
        </w:rPr>
      </w:pPr>
      <w:r>
        <w:rPr>
          <w:sz w:val="20"/>
        </w:rPr>
        <w:t xml:space="preserve">[3] R1-1803374, </w:t>
      </w:r>
      <w:r w:rsidRPr="005F2076">
        <w:rPr>
          <w:sz w:val="20"/>
        </w:rPr>
        <w:t>LS to RAN1 on handling parallel RA procedure and SR procedure</w:t>
      </w:r>
      <w:r>
        <w:rPr>
          <w:sz w:val="20"/>
        </w:rPr>
        <w:t>, RAN2</w:t>
      </w:r>
    </w:p>
    <w:p w14:paraId="1B236576" w14:textId="6E9D7EA2" w:rsidR="00A143C6" w:rsidRDefault="00A143C6" w:rsidP="00CE6E7B">
      <w:pPr>
        <w:pStyle w:val="LGTdoc"/>
        <w:spacing w:before="120" w:after="120"/>
        <w:ind w:left="300" w:hangingChars="150" w:hanging="300"/>
        <w:jc w:val="left"/>
        <w:rPr>
          <w:sz w:val="20"/>
          <w:lang w:val="en-US"/>
        </w:rPr>
      </w:pPr>
      <w:r>
        <w:rPr>
          <w:sz w:val="20"/>
        </w:rPr>
        <w:t xml:space="preserve">[4] </w:t>
      </w:r>
      <w:r w:rsidRPr="00A143C6">
        <w:rPr>
          <w:sz w:val="20"/>
          <w:lang w:val="en-US"/>
        </w:rPr>
        <w:t>R1-1704729</w:t>
      </w:r>
      <w:r>
        <w:rPr>
          <w:sz w:val="20"/>
          <w:lang w:val="en-US"/>
        </w:rPr>
        <w:t xml:space="preserve">, </w:t>
      </w:r>
      <w:r w:rsidRPr="00A143C6">
        <w:rPr>
          <w:sz w:val="20"/>
          <w:lang w:val="en-US"/>
        </w:rPr>
        <w:t>On CSI feedback Type I</w:t>
      </w:r>
      <w:r>
        <w:rPr>
          <w:sz w:val="20"/>
          <w:lang w:val="en-US"/>
        </w:rPr>
        <w:t>, Intel Corporation</w:t>
      </w:r>
    </w:p>
    <w:p w14:paraId="2B6E5184" w14:textId="5200AED4" w:rsidR="00881ED2" w:rsidRPr="00CE6E7B" w:rsidRDefault="00881ED2" w:rsidP="00CE6E7B">
      <w:pPr>
        <w:pStyle w:val="LGTdoc"/>
        <w:spacing w:before="120" w:after="120"/>
        <w:ind w:left="300" w:hangingChars="150" w:hanging="300"/>
        <w:jc w:val="left"/>
        <w:rPr>
          <w:sz w:val="20"/>
        </w:rPr>
      </w:pPr>
      <w:r>
        <w:rPr>
          <w:sz w:val="20"/>
          <w:lang w:val="en-US"/>
        </w:rPr>
        <w:t xml:space="preserve">[5] </w:t>
      </w:r>
      <w:r w:rsidRPr="00881ED2">
        <w:rPr>
          <w:sz w:val="20"/>
          <w:lang w:val="en-US"/>
        </w:rPr>
        <w:t>R1-1804718</w:t>
      </w:r>
      <w:r>
        <w:rPr>
          <w:sz w:val="20"/>
          <w:lang w:val="en-US"/>
        </w:rPr>
        <w:t xml:space="preserve">, </w:t>
      </w:r>
      <w:r w:rsidRPr="00881ED2">
        <w:rPr>
          <w:sz w:val="20"/>
          <w:lang w:val="en-US"/>
        </w:rPr>
        <w:t>On UE capability signalling for Type II CSI</w:t>
      </w:r>
      <w:r>
        <w:rPr>
          <w:sz w:val="20"/>
          <w:lang w:val="en-US"/>
        </w:rPr>
        <w:t>, Intel Corporation</w:t>
      </w:r>
    </w:p>
    <w:p w14:paraId="6662E7A9" w14:textId="695DA7B5" w:rsidR="00CE6E7B" w:rsidRPr="00915C3F" w:rsidRDefault="00CE6E7B" w:rsidP="00DB4FD0">
      <w:pPr>
        <w:pStyle w:val="LGTdoc"/>
        <w:spacing w:before="120" w:after="120"/>
        <w:ind w:left="300" w:hangingChars="150" w:hanging="300"/>
        <w:jc w:val="left"/>
        <w:rPr>
          <w:sz w:val="20"/>
        </w:rPr>
      </w:pPr>
    </w:p>
    <w:p w14:paraId="422559E3" w14:textId="0FDBCF09"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0558A" w14:textId="77777777" w:rsidR="003725EB" w:rsidRDefault="003725EB">
      <w:r>
        <w:separator/>
      </w:r>
    </w:p>
  </w:endnote>
  <w:endnote w:type="continuationSeparator" w:id="0">
    <w:p w14:paraId="15B93807" w14:textId="77777777" w:rsidR="003725EB" w:rsidRDefault="00372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60280E" w:rsidRDefault="0060280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60280E" w:rsidRDefault="0060280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60280E" w:rsidRDefault="0060280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7C9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7C9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F2D77" w14:textId="77777777" w:rsidR="003725EB" w:rsidRDefault="003725EB">
      <w:r>
        <w:separator/>
      </w:r>
    </w:p>
  </w:footnote>
  <w:footnote w:type="continuationSeparator" w:id="0">
    <w:p w14:paraId="02A8F95B" w14:textId="77777777" w:rsidR="003725EB" w:rsidRDefault="00372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60280E" w:rsidRDefault="006028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B42CF"/>
    <w:multiLevelType w:val="hybridMultilevel"/>
    <w:tmpl w:val="066E2B6C"/>
    <w:lvl w:ilvl="0" w:tplc="1422C56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14"/>
  </w:num>
  <w:num w:numId="4">
    <w:abstractNumId w:val="18"/>
  </w:num>
  <w:num w:numId="5">
    <w:abstractNumId w:val="9"/>
  </w:num>
  <w:num w:numId="6">
    <w:abstractNumId w:val="12"/>
  </w:num>
  <w:num w:numId="7">
    <w:abstractNumId w:val="8"/>
  </w:num>
  <w:num w:numId="8">
    <w:abstractNumId w:val="3"/>
  </w:num>
  <w:num w:numId="9">
    <w:abstractNumId w:val="5"/>
  </w:num>
  <w:num w:numId="10">
    <w:abstractNumId w:val="11"/>
  </w:num>
  <w:num w:numId="11">
    <w:abstractNumId w:val="2"/>
  </w:num>
  <w:num w:numId="12">
    <w:abstractNumId w:val="1"/>
  </w:num>
  <w:num w:numId="13">
    <w:abstractNumId w:val="6"/>
  </w:num>
  <w:num w:numId="14">
    <w:abstractNumId w:val="16"/>
  </w:num>
  <w:num w:numId="15">
    <w:abstractNumId w:val="20"/>
  </w:num>
  <w:num w:numId="16">
    <w:abstractNumId w:val="13"/>
  </w:num>
  <w:num w:numId="17">
    <w:abstractNumId w:val="7"/>
  </w:num>
  <w:num w:numId="18">
    <w:abstractNumId w:val="15"/>
  </w:num>
  <w:num w:numId="19">
    <w:abstractNumId w:val="4"/>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223"/>
    <w:rsid w:val="00001FC3"/>
    <w:rsid w:val="00002375"/>
    <w:rsid w:val="00002459"/>
    <w:rsid w:val="00003131"/>
    <w:rsid w:val="0000368E"/>
    <w:rsid w:val="000036F3"/>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DCE"/>
    <w:rsid w:val="0001729B"/>
    <w:rsid w:val="00017309"/>
    <w:rsid w:val="00017F4B"/>
    <w:rsid w:val="00020331"/>
    <w:rsid w:val="000205C1"/>
    <w:rsid w:val="000208B8"/>
    <w:rsid w:val="00020D61"/>
    <w:rsid w:val="0002130A"/>
    <w:rsid w:val="0002165C"/>
    <w:rsid w:val="00021765"/>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684"/>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AD3"/>
    <w:rsid w:val="00073FC4"/>
    <w:rsid w:val="00074375"/>
    <w:rsid w:val="000743A0"/>
    <w:rsid w:val="00074BF5"/>
    <w:rsid w:val="000752CD"/>
    <w:rsid w:val="00075680"/>
    <w:rsid w:val="0007590A"/>
    <w:rsid w:val="00075999"/>
    <w:rsid w:val="00076478"/>
    <w:rsid w:val="00077579"/>
    <w:rsid w:val="000805B2"/>
    <w:rsid w:val="00080786"/>
    <w:rsid w:val="00080D74"/>
    <w:rsid w:val="0008130A"/>
    <w:rsid w:val="00082152"/>
    <w:rsid w:val="000822B7"/>
    <w:rsid w:val="00082535"/>
    <w:rsid w:val="000826FF"/>
    <w:rsid w:val="00082A49"/>
    <w:rsid w:val="000830B9"/>
    <w:rsid w:val="00083322"/>
    <w:rsid w:val="00083788"/>
    <w:rsid w:val="00084255"/>
    <w:rsid w:val="00084F67"/>
    <w:rsid w:val="00085239"/>
    <w:rsid w:val="00085BC7"/>
    <w:rsid w:val="000862BA"/>
    <w:rsid w:val="00086B50"/>
    <w:rsid w:val="00086C4D"/>
    <w:rsid w:val="00086CF2"/>
    <w:rsid w:val="0008731C"/>
    <w:rsid w:val="000875F3"/>
    <w:rsid w:val="0008760B"/>
    <w:rsid w:val="00087881"/>
    <w:rsid w:val="00087BAB"/>
    <w:rsid w:val="00087E29"/>
    <w:rsid w:val="00087F91"/>
    <w:rsid w:val="00090573"/>
    <w:rsid w:val="00090586"/>
    <w:rsid w:val="00091714"/>
    <w:rsid w:val="00092053"/>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C24"/>
    <w:rsid w:val="000C2DE1"/>
    <w:rsid w:val="000C393F"/>
    <w:rsid w:val="000C3987"/>
    <w:rsid w:val="000C3F16"/>
    <w:rsid w:val="000C4422"/>
    <w:rsid w:val="000C4C76"/>
    <w:rsid w:val="000C550B"/>
    <w:rsid w:val="000C5759"/>
    <w:rsid w:val="000C59A4"/>
    <w:rsid w:val="000C5D70"/>
    <w:rsid w:val="000C5E7D"/>
    <w:rsid w:val="000C673C"/>
    <w:rsid w:val="000C69F8"/>
    <w:rsid w:val="000C6C6D"/>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1E2"/>
    <w:rsid w:val="000D23C1"/>
    <w:rsid w:val="000D2A02"/>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873"/>
    <w:rsid w:val="00106A95"/>
    <w:rsid w:val="00106B5E"/>
    <w:rsid w:val="00106CC3"/>
    <w:rsid w:val="00106E7E"/>
    <w:rsid w:val="001074D1"/>
    <w:rsid w:val="00107950"/>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D6"/>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4AE"/>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518"/>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BCE"/>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727"/>
    <w:rsid w:val="00191A2B"/>
    <w:rsid w:val="00191A77"/>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03"/>
    <w:rsid w:val="001A71EB"/>
    <w:rsid w:val="001A72EE"/>
    <w:rsid w:val="001A7912"/>
    <w:rsid w:val="001A7924"/>
    <w:rsid w:val="001A7BF4"/>
    <w:rsid w:val="001A7C23"/>
    <w:rsid w:val="001A7C61"/>
    <w:rsid w:val="001A7CBD"/>
    <w:rsid w:val="001A7EF4"/>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0B"/>
    <w:rsid w:val="001C0883"/>
    <w:rsid w:val="001C16A9"/>
    <w:rsid w:val="001C1E53"/>
    <w:rsid w:val="001C211D"/>
    <w:rsid w:val="001C2E60"/>
    <w:rsid w:val="001C3474"/>
    <w:rsid w:val="001C3605"/>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C9A"/>
    <w:rsid w:val="001D1258"/>
    <w:rsid w:val="001D13B0"/>
    <w:rsid w:val="001D19F8"/>
    <w:rsid w:val="001D1CFF"/>
    <w:rsid w:val="001D2B3C"/>
    <w:rsid w:val="001D2BB2"/>
    <w:rsid w:val="001D2E6C"/>
    <w:rsid w:val="001D2ECD"/>
    <w:rsid w:val="001D329E"/>
    <w:rsid w:val="001D34C7"/>
    <w:rsid w:val="001D3C68"/>
    <w:rsid w:val="001D3F18"/>
    <w:rsid w:val="001D4174"/>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45B"/>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99B"/>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086"/>
    <w:rsid w:val="00256F02"/>
    <w:rsid w:val="002571C8"/>
    <w:rsid w:val="002571DD"/>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076"/>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9ED"/>
    <w:rsid w:val="002A3B12"/>
    <w:rsid w:val="002A3CF2"/>
    <w:rsid w:val="002A4102"/>
    <w:rsid w:val="002A4918"/>
    <w:rsid w:val="002A4E20"/>
    <w:rsid w:val="002A523D"/>
    <w:rsid w:val="002A5465"/>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2D1"/>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25A"/>
    <w:rsid w:val="002D4322"/>
    <w:rsid w:val="002D499A"/>
    <w:rsid w:val="002D4A54"/>
    <w:rsid w:val="002D4E37"/>
    <w:rsid w:val="002D52E0"/>
    <w:rsid w:val="002D5923"/>
    <w:rsid w:val="002D5DEA"/>
    <w:rsid w:val="002D6127"/>
    <w:rsid w:val="002D6240"/>
    <w:rsid w:val="002D68C3"/>
    <w:rsid w:val="002D6C69"/>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7AD"/>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0C"/>
    <w:rsid w:val="00316E46"/>
    <w:rsid w:val="00317050"/>
    <w:rsid w:val="0031758F"/>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CF7"/>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092D"/>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3CE1"/>
    <w:rsid w:val="00364A63"/>
    <w:rsid w:val="0036692E"/>
    <w:rsid w:val="00367D2F"/>
    <w:rsid w:val="003700A7"/>
    <w:rsid w:val="00370285"/>
    <w:rsid w:val="003704EE"/>
    <w:rsid w:val="0037080A"/>
    <w:rsid w:val="00370880"/>
    <w:rsid w:val="00370ECC"/>
    <w:rsid w:val="00370EFD"/>
    <w:rsid w:val="00371137"/>
    <w:rsid w:val="00371766"/>
    <w:rsid w:val="00371831"/>
    <w:rsid w:val="003719F5"/>
    <w:rsid w:val="00372029"/>
    <w:rsid w:val="003724A1"/>
    <w:rsid w:val="003725EB"/>
    <w:rsid w:val="00372A6B"/>
    <w:rsid w:val="00372FD7"/>
    <w:rsid w:val="003730FB"/>
    <w:rsid w:val="00373E10"/>
    <w:rsid w:val="00373F2C"/>
    <w:rsid w:val="0037406C"/>
    <w:rsid w:val="003741D2"/>
    <w:rsid w:val="003744CB"/>
    <w:rsid w:val="00374664"/>
    <w:rsid w:val="00374804"/>
    <w:rsid w:val="00374F06"/>
    <w:rsid w:val="00374F99"/>
    <w:rsid w:val="00375145"/>
    <w:rsid w:val="00375FFC"/>
    <w:rsid w:val="003761D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76D"/>
    <w:rsid w:val="003B188F"/>
    <w:rsid w:val="003B1CC2"/>
    <w:rsid w:val="003B21B1"/>
    <w:rsid w:val="003B2B79"/>
    <w:rsid w:val="003B2F98"/>
    <w:rsid w:val="003B4482"/>
    <w:rsid w:val="003B4A84"/>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3FB"/>
    <w:rsid w:val="003C07D7"/>
    <w:rsid w:val="003C0985"/>
    <w:rsid w:val="003C0D37"/>
    <w:rsid w:val="003C1EC9"/>
    <w:rsid w:val="003C2C9D"/>
    <w:rsid w:val="003C3B73"/>
    <w:rsid w:val="003C3F9F"/>
    <w:rsid w:val="003C4250"/>
    <w:rsid w:val="003C4952"/>
    <w:rsid w:val="003C4D16"/>
    <w:rsid w:val="003C4D8C"/>
    <w:rsid w:val="003C4F25"/>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39E3"/>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642"/>
    <w:rsid w:val="003E4CDB"/>
    <w:rsid w:val="003E5258"/>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7DE"/>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1C70"/>
    <w:rsid w:val="004024AB"/>
    <w:rsid w:val="00402F2C"/>
    <w:rsid w:val="0040303D"/>
    <w:rsid w:val="0040379F"/>
    <w:rsid w:val="00403805"/>
    <w:rsid w:val="00403824"/>
    <w:rsid w:val="00403DBD"/>
    <w:rsid w:val="00403F25"/>
    <w:rsid w:val="0040495B"/>
    <w:rsid w:val="00404AE9"/>
    <w:rsid w:val="00405194"/>
    <w:rsid w:val="0040525A"/>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427"/>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9D3"/>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A3B"/>
    <w:rsid w:val="00437027"/>
    <w:rsid w:val="004371AB"/>
    <w:rsid w:val="0043758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0F3"/>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7D5"/>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6D2"/>
    <w:rsid w:val="0046682E"/>
    <w:rsid w:val="00467838"/>
    <w:rsid w:val="0047041E"/>
    <w:rsid w:val="00470750"/>
    <w:rsid w:val="00470893"/>
    <w:rsid w:val="00470E35"/>
    <w:rsid w:val="0047166D"/>
    <w:rsid w:val="00471856"/>
    <w:rsid w:val="004719A1"/>
    <w:rsid w:val="00471A3A"/>
    <w:rsid w:val="00471DB0"/>
    <w:rsid w:val="00471F3B"/>
    <w:rsid w:val="00471FAB"/>
    <w:rsid w:val="00472ACB"/>
    <w:rsid w:val="004734F7"/>
    <w:rsid w:val="00473F5F"/>
    <w:rsid w:val="0047410D"/>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3F05"/>
    <w:rsid w:val="004C42ED"/>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C56"/>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9F6"/>
    <w:rsid w:val="00513F8F"/>
    <w:rsid w:val="00513FCF"/>
    <w:rsid w:val="005141DB"/>
    <w:rsid w:val="00514455"/>
    <w:rsid w:val="005147E7"/>
    <w:rsid w:val="00514882"/>
    <w:rsid w:val="00514971"/>
    <w:rsid w:val="005149A2"/>
    <w:rsid w:val="00514CEE"/>
    <w:rsid w:val="005150E4"/>
    <w:rsid w:val="005154A2"/>
    <w:rsid w:val="00515907"/>
    <w:rsid w:val="00515E2B"/>
    <w:rsid w:val="00516B96"/>
    <w:rsid w:val="005173A4"/>
    <w:rsid w:val="0051770E"/>
    <w:rsid w:val="0052001B"/>
    <w:rsid w:val="005205C8"/>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AE4"/>
    <w:rsid w:val="00534C83"/>
    <w:rsid w:val="00535A27"/>
    <w:rsid w:val="0053637E"/>
    <w:rsid w:val="005364F4"/>
    <w:rsid w:val="00536AEE"/>
    <w:rsid w:val="00537BE9"/>
    <w:rsid w:val="00537E22"/>
    <w:rsid w:val="00540147"/>
    <w:rsid w:val="0054081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23A"/>
    <w:rsid w:val="00546310"/>
    <w:rsid w:val="00546738"/>
    <w:rsid w:val="005467D6"/>
    <w:rsid w:val="00546942"/>
    <w:rsid w:val="00547123"/>
    <w:rsid w:val="005504D9"/>
    <w:rsid w:val="00550501"/>
    <w:rsid w:val="00550C80"/>
    <w:rsid w:val="00550D6F"/>
    <w:rsid w:val="00550E94"/>
    <w:rsid w:val="005511B1"/>
    <w:rsid w:val="005513DC"/>
    <w:rsid w:val="00551E1E"/>
    <w:rsid w:val="00551E52"/>
    <w:rsid w:val="00552038"/>
    <w:rsid w:val="0055233E"/>
    <w:rsid w:val="00552569"/>
    <w:rsid w:val="005526F2"/>
    <w:rsid w:val="00552FF4"/>
    <w:rsid w:val="0055410A"/>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57F88"/>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3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0C"/>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0A9A"/>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8C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274"/>
    <w:rsid w:val="005E0D65"/>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1FE4"/>
    <w:rsid w:val="005F327D"/>
    <w:rsid w:val="005F369B"/>
    <w:rsid w:val="005F3F7F"/>
    <w:rsid w:val="005F40E5"/>
    <w:rsid w:val="005F410E"/>
    <w:rsid w:val="005F42C9"/>
    <w:rsid w:val="005F46D9"/>
    <w:rsid w:val="005F4950"/>
    <w:rsid w:val="005F4E06"/>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280E"/>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79"/>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5DB4"/>
    <w:rsid w:val="00616885"/>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1A5"/>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7368"/>
    <w:rsid w:val="00677725"/>
    <w:rsid w:val="00677A65"/>
    <w:rsid w:val="0068013A"/>
    <w:rsid w:val="00680A97"/>
    <w:rsid w:val="00680F30"/>
    <w:rsid w:val="00680F81"/>
    <w:rsid w:val="0068102D"/>
    <w:rsid w:val="00681245"/>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AA8"/>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26"/>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001"/>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2C4F"/>
    <w:rsid w:val="006D31AF"/>
    <w:rsid w:val="006D31DD"/>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9AD"/>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142"/>
    <w:rsid w:val="00714312"/>
    <w:rsid w:val="00714722"/>
    <w:rsid w:val="0071482A"/>
    <w:rsid w:val="00714D6A"/>
    <w:rsid w:val="00715F04"/>
    <w:rsid w:val="00715F49"/>
    <w:rsid w:val="007162F2"/>
    <w:rsid w:val="007163BF"/>
    <w:rsid w:val="0071649C"/>
    <w:rsid w:val="00716DB8"/>
    <w:rsid w:val="00716FC0"/>
    <w:rsid w:val="00717267"/>
    <w:rsid w:val="007178EE"/>
    <w:rsid w:val="00717B0A"/>
    <w:rsid w:val="00717CEA"/>
    <w:rsid w:val="00717E1F"/>
    <w:rsid w:val="00720759"/>
    <w:rsid w:val="00720BD4"/>
    <w:rsid w:val="007215A9"/>
    <w:rsid w:val="007218A9"/>
    <w:rsid w:val="0072190B"/>
    <w:rsid w:val="00721E1D"/>
    <w:rsid w:val="00721FC7"/>
    <w:rsid w:val="00722580"/>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3D4"/>
    <w:rsid w:val="0073171A"/>
    <w:rsid w:val="00731910"/>
    <w:rsid w:val="00731A41"/>
    <w:rsid w:val="00731D37"/>
    <w:rsid w:val="00731E4B"/>
    <w:rsid w:val="00732321"/>
    <w:rsid w:val="00733016"/>
    <w:rsid w:val="00733315"/>
    <w:rsid w:val="0073382B"/>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98E"/>
    <w:rsid w:val="00765C9C"/>
    <w:rsid w:val="00765FDC"/>
    <w:rsid w:val="00766559"/>
    <w:rsid w:val="007667D5"/>
    <w:rsid w:val="00766B0E"/>
    <w:rsid w:val="00766BFB"/>
    <w:rsid w:val="00766DFE"/>
    <w:rsid w:val="0076731C"/>
    <w:rsid w:val="00767416"/>
    <w:rsid w:val="0076747C"/>
    <w:rsid w:val="007678B6"/>
    <w:rsid w:val="007706B4"/>
    <w:rsid w:val="00770CEE"/>
    <w:rsid w:val="007717C2"/>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1ED9"/>
    <w:rsid w:val="007926B7"/>
    <w:rsid w:val="00792ECC"/>
    <w:rsid w:val="00792EE2"/>
    <w:rsid w:val="007939C7"/>
    <w:rsid w:val="00793F70"/>
    <w:rsid w:val="007947FB"/>
    <w:rsid w:val="00794A46"/>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C0880"/>
    <w:rsid w:val="007C0BD2"/>
    <w:rsid w:val="007C0F3A"/>
    <w:rsid w:val="007C1065"/>
    <w:rsid w:val="007C1537"/>
    <w:rsid w:val="007C1B94"/>
    <w:rsid w:val="007C237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49C"/>
    <w:rsid w:val="007D1558"/>
    <w:rsid w:val="007D1B7C"/>
    <w:rsid w:val="007D214A"/>
    <w:rsid w:val="007D2419"/>
    <w:rsid w:val="007D26C0"/>
    <w:rsid w:val="007D357E"/>
    <w:rsid w:val="007D3889"/>
    <w:rsid w:val="007D39A2"/>
    <w:rsid w:val="007D39D7"/>
    <w:rsid w:val="007D3B96"/>
    <w:rsid w:val="007D3ED3"/>
    <w:rsid w:val="007D470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BA7"/>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3AB"/>
    <w:rsid w:val="00814423"/>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7B6"/>
    <w:rsid w:val="00820DF1"/>
    <w:rsid w:val="00821599"/>
    <w:rsid w:val="0082172C"/>
    <w:rsid w:val="00821A4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A0A"/>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870"/>
    <w:rsid w:val="00863AA0"/>
    <w:rsid w:val="008644EC"/>
    <w:rsid w:val="00864A9F"/>
    <w:rsid w:val="008650AB"/>
    <w:rsid w:val="00865696"/>
    <w:rsid w:val="00865D4C"/>
    <w:rsid w:val="00865DE1"/>
    <w:rsid w:val="00866453"/>
    <w:rsid w:val="00866781"/>
    <w:rsid w:val="00867F66"/>
    <w:rsid w:val="00867F91"/>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ED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3E23"/>
    <w:rsid w:val="00894304"/>
    <w:rsid w:val="00895243"/>
    <w:rsid w:val="00895A0C"/>
    <w:rsid w:val="0089609B"/>
    <w:rsid w:val="008966A5"/>
    <w:rsid w:val="00896A6F"/>
    <w:rsid w:val="00896D10"/>
    <w:rsid w:val="00896DF5"/>
    <w:rsid w:val="008A0173"/>
    <w:rsid w:val="008A0339"/>
    <w:rsid w:val="008A03A0"/>
    <w:rsid w:val="008A0473"/>
    <w:rsid w:val="008A04C7"/>
    <w:rsid w:val="008A111D"/>
    <w:rsid w:val="008A1575"/>
    <w:rsid w:val="008A197B"/>
    <w:rsid w:val="008A1C65"/>
    <w:rsid w:val="008A1C6C"/>
    <w:rsid w:val="008A1EA1"/>
    <w:rsid w:val="008A24BD"/>
    <w:rsid w:val="008A2AAE"/>
    <w:rsid w:val="008A2AC4"/>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9A8"/>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9DE"/>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0ED"/>
    <w:rsid w:val="008C59D5"/>
    <w:rsid w:val="008C5B10"/>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5DD3"/>
    <w:rsid w:val="0091610F"/>
    <w:rsid w:val="009161BA"/>
    <w:rsid w:val="00916827"/>
    <w:rsid w:val="00917EE5"/>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F0"/>
    <w:rsid w:val="00935B52"/>
    <w:rsid w:val="00936951"/>
    <w:rsid w:val="00936A90"/>
    <w:rsid w:val="009370A6"/>
    <w:rsid w:val="00937AC7"/>
    <w:rsid w:val="00937C54"/>
    <w:rsid w:val="00937D15"/>
    <w:rsid w:val="009406F4"/>
    <w:rsid w:val="00940886"/>
    <w:rsid w:val="00940A5D"/>
    <w:rsid w:val="00940BCB"/>
    <w:rsid w:val="00940D85"/>
    <w:rsid w:val="00940DF4"/>
    <w:rsid w:val="00940FB5"/>
    <w:rsid w:val="0094148B"/>
    <w:rsid w:val="009419E2"/>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2B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4D4"/>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17F"/>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6BC9"/>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3CA"/>
    <w:rsid w:val="009954AD"/>
    <w:rsid w:val="00995580"/>
    <w:rsid w:val="00996546"/>
    <w:rsid w:val="0099697F"/>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1392"/>
    <w:rsid w:val="009B3221"/>
    <w:rsid w:val="009B346F"/>
    <w:rsid w:val="009B3745"/>
    <w:rsid w:val="009B3C79"/>
    <w:rsid w:val="009B4821"/>
    <w:rsid w:val="009B4BED"/>
    <w:rsid w:val="009B4C24"/>
    <w:rsid w:val="009B5821"/>
    <w:rsid w:val="009B59B0"/>
    <w:rsid w:val="009B616B"/>
    <w:rsid w:val="009B633E"/>
    <w:rsid w:val="009B68AD"/>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B6F"/>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D7A12"/>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B10"/>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3C6"/>
    <w:rsid w:val="00A144A2"/>
    <w:rsid w:val="00A145D0"/>
    <w:rsid w:val="00A14743"/>
    <w:rsid w:val="00A14B5D"/>
    <w:rsid w:val="00A15020"/>
    <w:rsid w:val="00A155C7"/>
    <w:rsid w:val="00A1562F"/>
    <w:rsid w:val="00A157EC"/>
    <w:rsid w:val="00A16150"/>
    <w:rsid w:val="00A1630A"/>
    <w:rsid w:val="00A1637F"/>
    <w:rsid w:val="00A16A02"/>
    <w:rsid w:val="00A16B03"/>
    <w:rsid w:val="00A17345"/>
    <w:rsid w:val="00A1789B"/>
    <w:rsid w:val="00A1790D"/>
    <w:rsid w:val="00A20253"/>
    <w:rsid w:val="00A2049C"/>
    <w:rsid w:val="00A205BF"/>
    <w:rsid w:val="00A2104B"/>
    <w:rsid w:val="00A210E9"/>
    <w:rsid w:val="00A218AE"/>
    <w:rsid w:val="00A21A9D"/>
    <w:rsid w:val="00A21AAA"/>
    <w:rsid w:val="00A21E51"/>
    <w:rsid w:val="00A22132"/>
    <w:rsid w:val="00A22207"/>
    <w:rsid w:val="00A226BE"/>
    <w:rsid w:val="00A22D9C"/>
    <w:rsid w:val="00A231C3"/>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70E"/>
    <w:rsid w:val="00A45A3B"/>
    <w:rsid w:val="00A46FAD"/>
    <w:rsid w:val="00A470ED"/>
    <w:rsid w:val="00A4728F"/>
    <w:rsid w:val="00A47430"/>
    <w:rsid w:val="00A4761F"/>
    <w:rsid w:val="00A47B4B"/>
    <w:rsid w:val="00A5044D"/>
    <w:rsid w:val="00A50B00"/>
    <w:rsid w:val="00A50F85"/>
    <w:rsid w:val="00A511FB"/>
    <w:rsid w:val="00A514EB"/>
    <w:rsid w:val="00A51561"/>
    <w:rsid w:val="00A51D48"/>
    <w:rsid w:val="00A521E0"/>
    <w:rsid w:val="00A528C1"/>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0B08"/>
    <w:rsid w:val="00A7141F"/>
    <w:rsid w:val="00A716D6"/>
    <w:rsid w:val="00A71D6B"/>
    <w:rsid w:val="00A71DB0"/>
    <w:rsid w:val="00A72DF9"/>
    <w:rsid w:val="00A73873"/>
    <w:rsid w:val="00A73C2E"/>
    <w:rsid w:val="00A744A2"/>
    <w:rsid w:val="00A745D9"/>
    <w:rsid w:val="00A74A36"/>
    <w:rsid w:val="00A74E04"/>
    <w:rsid w:val="00A74F6C"/>
    <w:rsid w:val="00A75212"/>
    <w:rsid w:val="00A7538B"/>
    <w:rsid w:val="00A75857"/>
    <w:rsid w:val="00A75920"/>
    <w:rsid w:val="00A7596E"/>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75A"/>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E16"/>
    <w:rsid w:val="00AB3E3E"/>
    <w:rsid w:val="00AB3F13"/>
    <w:rsid w:val="00AB40A9"/>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AFB"/>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8F9"/>
    <w:rsid w:val="00AD514B"/>
    <w:rsid w:val="00AD574F"/>
    <w:rsid w:val="00AD59C9"/>
    <w:rsid w:val="00AD6C7F"/>
    <w:rsid w:val="00AD70C9"/>
    <w:rsid w:val="00AD717D"/>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5EA5"/>
    <w:rsid w:val="00AE6433"/>
    <w:rsid w:val="00AE646D"/>
    <w:rsid w:val="00AE6584"/>
    <w:rsid w:val="00AE69BD"/>
    <w:rsid w:val="00AE6D12"/>
    <w:rsid w:val="00AE6EEB"/>
    <w:rsid w:val="00AE723D"/>
    <w:rsid w:val="00AE7992"/>
    <w:rsid w:val="00AF0801"/>
    <w:rsid w:val="00AF1414"/>
    <w:rsid w:val="00AF28B0"/>
    <w:rsid w:val="00AF29A2"/>
    <w:rsid w:val="00AF2DED"/>
    <w:rsid w:val="00AF3C80"/>
    <w:rsid w:val="00AF3C8C"/>
    <w:rsid w:val="00AF41FC"/>
    <w:rsid w:val="00AF457C"/>
    <w:rsid w:val="00AF4648"/>
    <w:rsid w:val="00AF4659"/>
    <w:rsid w:val="00AF5021"/>
    <w:rsid w:val="00AF5363"/>
    <w:rsid w:val="00AF5954"/>
    <w:rsid w:val="00AF5F78"/>
    <w:rsid w:val="00AF63A9"/>
    <w:rsid w:val="00AF6591"/>
    <w:rsid w:val="00AF66F1"/>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EB4"/>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0E0"/>
    <w:rsid w:val="00B2527C"/>
    <w:rsid w:val="00B254EC"/>
    <w:rsid w:val="00B25585"/>
    <w:rsid w:val="00B25A70"/>
    <w:rsid w:val="00B25BD8"/>
    <w:rsid w:val="00B25E1D"/>
    <w:rsid w:val="00B25F9A"/>
    <w:rsid w:val="00B2613A"/>
    <w:rsid w:val="00B269CE"/>
    <w:rsid w:val="00B26ABF"/>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346"/>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DF6"/>
    <w:rsid w:val="00B8408E"/>
    <w:rsid w:val="00B84BE8"/>
    <w:rsid w:val="00B85516"/>
    <w:rsid w:val="00B85E03"/>
    <w:rsid w:val="00B85F67"/>
    <w:rsid w:val="00B85FF9"/>
    <w:rsid w:val="00B86557"/>
    <w:rsid w:val="00B86734"/>
    <w:rsid w:val="00B8692C"/>
    <w:rsid w:val="00B86BDC"/>
    <w:rsid w:val="00B874FB"/>
    <w:rsid w:val="00B8769E"/>
    <w:rsid w:val="00B87C95"/>
    <w:rsid w:val="00B87E43"/>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214"/>
    <w:rsid w:val="00BB0528"/>
    <w:rsid w:val="00BB070E"/>
    <w:rsid w:val="00BB0B3E"/>
    <w:rsid w:val="00BB0D58"/>
    <w:rsid w:val="00BB0D75"/>
    <w:rsid w:val="00BB1966"/>
    <w:rsid w:val="00BB1B24"/>
    <w:rsid w:val="00BB1C4F"/>
    <w:rsid w:val="00BB1D50"/>
    <w:rsid w:val="00BB1DA2"/>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C7D3D"/>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6668"/>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475"/>
    <w:rsid w:val="00BF56A8"/>
    <w:rsid w:val="00BF60E3"/>
    <w:rsid w:val="00BF683A"/>
    <w:rsid w:val="00BF6C19"/>
    <w:rsid w:val="00BF6FBF"/>
    <w:rsid w:val="00BF6FF4"/>
    <w:rsid w:val="00BF70A1"/>
    <w:rsid w:val="00BF70F8"/>
    <w:rsid w:val="00BF7AE6"/>
    <w:rsid w:val="00BF7D39"/>
    <w:rsid w:val="00BF7D43"/>
    <w:rsid w:val="00C00630"/>
    <w:rsid w:val="00C00F1A"/>
    <w:rsid w:val="00C010F5"/>
    <w:rsid w:val="00C0150C"/>
    <w:rsid w:val="00C01835"/>
    <w:rsid w:val="00C01866"/>
    <w:rsid w:val="00C02192"/>
    <w:rsid w:val="00C023FA"/>
    <w:rsid w:val="00C02CDE"/>
    <w:rsid w:val="00C02FF6"/>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6E"/>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84A"/>
    <w:rsid w:val="00C24CA2"/>
    <w:rsid w:val="00C24EE5"/>
    <w:rsid w:val="00C24F74"/>
    <w:rsid w:val="00C250CF"/>
    <w:rsid w:val="00C2544D"/>
    <w:rsid w:val="00C25D3A"/>
    <w:rsid w:val="00C263AE"/>
    <w:rsid w:val="00C26846"/>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82"/>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AF6"/>
    <w:rsid w:val="00C43CE7"/>
    <w:rsid w:val="00C44189"/>
    <w:rsid w:val="00C4464F"/>
    <w:rsid w:val="00C447FB"/>
    <w:rsid w:val="00C44ADA"/>
    <w:rsid w:val="00C45658"/>
    <w:rsid w:val="00C45A9C"/>
    <w:rsid w:val="00C463BB"/>
    <w:rsid w:val="00C46978"/>
    <w:rsid w:val="00C46B53"/>
    <w:rsid w:val="00C46FC8"/>
    <w:rsid w:val="00C470AA"/>
    <w:rsid w:val="00C47AE8"/>
    <w:rsid w:val="00C508B7"/>
    <w:rsid w:val="00C51D11"/>
    <w:rsid w:val="00C51FA2"/>
    <w:rsid w:val="00C51FA7"/>
    <w:rsid w:val="00C5257E"/>
    <w:rsid w:val="00C531B4"/>
    <w:rsid w:val="00C532F9"/>
    <w:rsid w:val="00C53E22"/>
    <w:rsid w:val="00C5411D"/>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4D6A"/>
    <w:rsid w:val="00C75004"/>
    <w:rsid w:val="00C75579"/>
    <w:rsid w:val="00C755E8"/>
    <w:rsid w:val="00C75970"/>
    <w:rsid w:val="00C75AC4"/>
    <w:rsid w:val="00C75B22"/>
    <w:rsid w:val="00C75C9D"/>
    <w:rsid w:val="00C75F6E"/>
    <w:rsid w:val="00C76A56"/>
    <w:rsid w:val="00C76A6B"/>
    <w:rsid w:val="00C7731D"/>
    <w:rsid w:val="00C7799E"/>
    <w:rsid w:val="00C77DF7"/>
    <w:rsid w:val="00C80547"/>
    <w:rsid w:val="00C80F87"/>
    <w:rsid w:val="00C815F8"/>
    <w:rsid w:val="00C8198E"/>
    <w:rsid w:val="00C81B30"/>
    <w:rsid w:val="00C82141"/>
    <w:rsid w:val="00C82387"/>
    <w:rsid w:val="00C84D86"/>
    <w:rsid w:val="00C8534D"/>
    <w:rsid w:val="00C85C20"/>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2FC"/>
    <w:rsid w:val="00C9684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51E9"/>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3257"/>
    <w:rsid w:val="00CE451C"/>
    <w:rsid w:val="00CE4D13"/>
    <w:rsid w:val="00CE5E50"/>
    <w:rsid w:val="00CE697C"/>
    <w:rsid w:val="00CE69F3"/>
    <w:rsid w:val="00CE6AD5"/>
    <w:rsid w:val="00CE6E24"/>
    <w:rsid w:val="00CE6E7B"/>
    <w:rsid w:val="00CE76BD"/>
    <w:rsid w:val="00CE79BC"/>
    <w:rsid w:val="00CF02AC"/>
    <w:rsid w:val="00CF057C"/>
    <w:rsid w:val="00CF06E6"/>
    <w:rsid w:val="00CF1422"/>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93C"/>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5EE"/>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379"/>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61FB"/>
    <w:rsid w:val="00D26283"/>
    <w:rsid w:val="00D263B5"/>
    <w:rsid w:val="00D26586"/>
    <w:rsid w:val="00D267FE"/>
    <w:rsid w:val="00D26DBE"/>
    <w:rsid w:val="00D27F01"/>
    <w:rsid w:val="00D301A3"/>
    <w:rsid w:val="00D30C46"/>
    <w:rsid w:val="00D30FC7"/>
    <w:rsid w:val="00D31B9F"/>
    <w:rsid w:val="00D31BEA"/>
    <w:rsid w:val="00D328E2"/>
    <w:rsid w:val="00D32B6E"/>
    <w:rsid w:val="00D33313"/>
    <w:rsid w:val="00D33410"/>
    <w:rsid w:val="00D33AB3"/>
    <w:rsid w:val="00D33AFC"/>
    <w:rsid w:val="00D33B7C"/>
    <w:rsid w:val="00D33CAF"/>
    <w:rsid w:val="00D3410B"/>
    <w:rsid w:val="00D344C9"/>
    <w:rsid w:val="00D34F88"/>
    <w:rsid w:val="00D353FF"/>
    <w:rsid w:val="00D3609F"/>
    <w:rsid w:val="00D3610A"/>
    <w:rsid w:val="00D36241"/>
    <w:rsid w:val="00D3646C"/>
    <w:rsid w:val="00D3668C"/>
    <w:rsid w:val="00D369EA"/>
    <w:rsid w:val="00D36C8E"/>
    <w:rsid w:val="00D36D7A"/>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D0C"/>
    <w:rsid w:val="00D53768"/>
    <w:rsid w:val="00D53C63"/>
    <w:rsid w:val="00D54C59"/>
    <w:rsid w:val="00D54D88"/>
    <w:rsid w:val="00D55115"/>
    <w:rsid w:val="00D5521C"/>
    <w:rsid w:val="00D552BA"/>
    <w:rsid w:val="00D554E6"/>
    <w:rsid w:val="00D55723"/>
    <w:rsid w:val="00D55B68"/>
    <w:rsid w:val="00D55C37"/>
    <w:rsid w:val="00D560BE"/>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243"/>
    <w:rsid w:val="00D6278F"/>
    <w:rsid w:val="00D62949"/>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5DD"/>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C8E"/>
    <w:rsid w:val="00D84268"/>
    <w:rsid w:val="00D846C5"/>
    <w:rsid w:val="00D85863"/>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8A0"/>
    <w:rsid w:val="00D94BB0"/>
    <w:rsid w:val="00D94FF3"/>
    <w:rsid w:val="00D957C0"/>
    <w:rsid w:val="00D95BF0"/>
    <w:rsid w:val="00D95BFF"/>
    <w:rsid w:val="00D96193"/>
    <w:rsid w:val="00D96DD2"/>
    <w:rsid w:val="00D97E86"/>
    <w:rsid w:val="00DA0FC0"/>
    <w:rsid w:val="00DA1420"/>
    <w:rsid w:val="00DA1D80"/>
    <w:rsid w:val="00DA2046"/>
    <w:rsid w:val="00DA2301"/>
    <w:rsid w:val="00DA23D2"/>
    <w:rsid w:val="00DA29C4"/>
    <w:rsid w:val="00DA2C65"/>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452"/>
    <w:rsid w:val="00DB35C7"/>
    <w:rsid w:val="00DB3885"/>
    <w:rsid w:val="00DB39DE"/>
    <w:rsid w:val="00DB3D52"/>
    <w:rsid w:val="00DB42C3"/>
    <w:rsid w:val="00DB4322"/>
    <w:rsid w:val="00DB4F9D"/>
    <w:rsid w:val="00DB4FD0"/>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003"/>
    <w:rsid w:val="00DC0715"/>
    <w:rsid w:val="00DC0F93"/>
    <w:rsid w:val="00DC12C6"/>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C18"/>
    <w:rsid w:val="00DE4D74"/>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401"/>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63E"/>
    <w:rsid w:val="00E538E0"/>
    <w:rsid w:val="00E54391"/>
    <w:rsid w:val="00E54713"/>
    <w:rsid w:val="00E54D33"/>
    <w:rsid w:val="00E553DD"/>
    <w:rsid w:val="00E55B13"/>
    <w:rsid w:val="00E56D42"/>
    <w:rsid w:val="00E5711F"/>
    <w:rsid w:val="00E5738B"/>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4E3"/>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8C1"/>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04B"/>
    <w:rsid w:val="00ED4EC0"/>
    <w:rsid w:val="00ED5122"/>
    <w:rsid w:val="00ED54F7"/>
    <w:rsid w:val="00ED58F2"/>
    <w:rsid w:val="00EE08BC"/>
    <w:rsid w:val="00EE09EA"/>
    <w:rsid w:val="00EE0A49"/>
    <w:rsid w:val="00EE0D48"/>
    <w:rsid w:val="00EE0E09"/>
    <w:rsid w:val="00EE10D7"/>
    <w:rsid w:val="00EE12DA"/>
    <w:rsid w:val="00EE15CA"/>
    <w:rsid w:val="00EE15E0"/>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582"/>
    <w:rsid w:val="00EF082A"/>
    <w:rsid w:val="00EF0E50"/>
    <w:rsid w:val="00EF118F"/>
    <w:rsid w:val="00EF1BCB"/>
    <w:rsid w:val="00EF20FD"/>
    <w:rsid w:val="00EF2786"/>
    <w:rsid w:val="00EF2C3D"/>
    <w:rsid w:val="00EF2D8F"/>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1ABF"/>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CF5"/>
    <w:rsid w:val="00F124CB"/>
    <w:rsid w:val="00F12B3D"/>
    <w:rsid w:val="00F12D63"/>
    <w:rsid w:val="00F132DC"/>
    <w:rsid w:val="00F1403E"/>
    <w:rsid w:val="00F1415B"/>
    <w:rsid w:val="00F1476B"/>
    <w:rsid w:val="00F149F8"/>
    <w:rsid w:val="00F15860"/>
    <w:rsid w:val="00F159FD"/>
    <w:rsid w:val="00F15ADA"/>
    <w:rsid w:val="00F16BB1"/>
    <w:rsid w:val="00F175B4"/>
    <w:rsid w:val="00F17A8F"/>
    <w:rsid w:val="00F2003B"/>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9A9"/>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404"/>
    <w:rsid w:val="00F548C8"/>
    <w:rsid w:val="00F554F7"/>
    <w:rsid w:val="00F55AC5"/>
    <w:rsid w:val="00F568FF"/>
    <w:rsid w:val="00F56918"/>
    <w:rsid w:val="00F56B25"/>
    <w:rsid w:val="00F56FE4"/>
    <w:rsid w:val="00F5765A"/>
    <w:rsid w:val="00F57704"/>
    <w:rsid w:val="00F577F9"/>
    <w:rsid w:val="00F57B1F"/>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2BD"/>
    <w:rsid w:val="00F73CD4"/>
    <w:rsid w:val="00F73D87"/>
    <w:rsid w:val="00F73F43"/>
    <w:rsid w:val="00F74609"/>
    <w:rsid w:val="00F74664"/>
    <w:rsid w:val="00F74689"/>
    <w:rsid w:val="00F74791"/>
    <w:rsid w:val="00F74A7A"/>
    <w:rsid w:val="00F7540D"/>
    <w:rsid w:val="00F7564B"/>
    <w:rsid w:val="00F76337"/>
    <w:rsid w:val="00F763DF"/>
    <w:rsid w:val="00F7659C"/>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8B3"/>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6A"/>
    <w:rsid w:val="00FE04B6"/>
    <w:rsid w:val="00FE05E5"/>
    <w:rsid w:val="00FE0657"/>
    <w:rsid w:val="00FE09CC"/>
    <w:rsid w:val="00FE20AB"/>
    <w:rsid w:val="00FE22FE"/>
    <w:rsid w:val="00FE29F9"/>
    <w:rsid w:val="00FE2B7B"/>
    <w:rsid w:val="00FE3100"/>
    <w:rsid w:val="00FE3439"/>
    <w:rsid w:val="00FE3768"/>
    <w:rsid w:val="00FE5172"/>
    <w:rsid w:val="00FE5410"/>
    <w:rsid w:val="00FE5977"/>
    <w:rsid w:val="00FE627C"/>
    <w:rsid w:val="00FE6DEC"/>
    <w:rsid w:val="00FE6E09"/>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15F"/>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character" w:customStyle="1" w:styleId="TACChar">
    <w:name w:val="TAC Char"/>
    <w:basedOn w:val="DefaultParagraphFont"/>
    <w:link w:val="TAC"/>
    <w:locked/>
    <w:rsid w:val="003708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1966122">
      <w:bodyDiv w:val="1"/>
      <w:marLeft w:val="0"/>
      <w:marRight w:val="0"/>
      <w:marTop w:val="0"/>
      <w:marBottom w:val="0"/>
      <w:divBdr>
        <w:top w:val="none" w:sz="0" w:space="0" w:color="auto"/>
        <w:left w:val="none" w:sz="0" w:space="0" w:color="auto"/>
        <w:bottom w:val="none" w:sz="0" w:space="0" w:color="auto"/>
        <w:right w:val="none" w:sz="0" w:space="0" w:color="auto"/>
      </w:divBdr>
    </w:div>
    <w:div w:id="5345826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084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95418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832531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104182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F3D8E-D091-4260-907F-8742BDC88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39D4E4-A27C-4B4F-9899-EB9743BFACB7}">
  <ds:schemaRefs>
    <ds:schemaRef ds:uri="http://schemas.microsoft.com/sharepoint/v3/contenttype/forms"/>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17F2376-3AF5-4F1B-A156-10043D2CF684}">
  <ds:schemaRefs>
    <ds:schemaRef ds:uri="http://schemas.openxmlformats.org/officeDocument/2006/bibliography"/>
  </ds:schemaRefs>
</ds:datastoreItem>
</file>

<file path=customXml/itemProps5.xml><?xml version="1.0" encoding="utf-8"?>
<ds:datastoreItem xmlns:ds="http://schemas.openxmlformats.org/officeDocument/2006/customXml" ds:itemID="{71AB86D3-6BD9-4569-A386-0D4670061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1385</Words>
  <Characters>7205</Characters>
  <Application>Microsoft Office Word</Application>
  <DocSecurity>0</DocSecurity>
  <Lines>152</Lines>
  <Paragraphs>78</Paragraphs>
  <ScaleCrop>false</ScaleCrop>
  <HeadingPairs>
    <vt:vector size="2" baseType="variant">
      <vt:variant>
        <vt:lpstr>Title</vt:lpstr>
      </vt:variant>
      <vt:variant>
        <vt:i4>1</vt:i4>
      </vt:variant>
    </vt:vector>
  </HeadingPairs>
  <TitlesOfParts>
    <vt:vector size="1" baseType="lpstr">
      <vt:lpstr>LTE-NR coexistence general issues</vt:lpstr>
    </vt:vector>
  </TitlesOfParts>
  <Company>Intel Corporation</Company>
  <LinksUpToDate>false</LinksUpToDate>
  <CharactersWithSpaces>8598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LTE-NR coexistence general issues</dc:title>
  <dc:creator>Intel Corporation</dc:creator>
  <cp:keywords>CTPClassification=CTP_PUBLIC:VisualMarkings=, CTPClassification=CTP_NT</cp:keywords>
  <cp:lastModifiedBy>Intel</cp:lastModifiedBy>
  <cp:revision>20</cp:revision>
  <cp:lastPrinted>2016-05-14T03:13:00Z</cp:lastPrinted>
  <dcterms:created xsi:type="dcterms:W3CDTF">2018-04-13T19:24:00Z</dcterms:created>
  <dcterms:modified xsi:type="dcterms:W3CDTF">2018-05-12T04:03:00Z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9cddf2ea-fea3-4533-94ce-aa160162c9bf</vt:lpwstr>
  </property>
  <property fmtid="{D5CDD505-2E9C-101B-9397-08002B2CF9AE}" pid="4" name="CTP_TimeStamp">
    <vt:lpwstr>2018-05-12 04:03:50Z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